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F2155" w14:textId="77777777" w:rsidR="00C5648D" w:rsidRPr="00AF359E" w:rsidRDefault="006B6ABD" w:rsidP="001871F9">
      <w:pPr>
        <w:spacing w:after="0"/>
        <w:jc w:val="center"/>
        <w:rPr>
          <w:rFonts w:ascii="Aptos" w:eastAsia="Times New Roman" w:hAnsi="Aptos" w:cs="Times New Roman"/>
          <w:b/>
          <w:bCs/>
          <w:sz w:val="28"/>
          <w:szCs w:val="28"/>
        </w:rPr>
      </w:pPr>
      <w:r w:rsidRPr="00AF359E">
        <w:rPr>
          <w:rFonts w:ascii="Aptos" w:eastAsia="Times New Roman" w:hAnsi="Aptos" w:cs="Times New Roman"/>
          <w:b/>
          <w:bCs/>
          <w:i/>
          <w:iCs/>
          <w:noProof/>
          <w:sz w:val="28"/>
          <w:szCs w:val="28"/>
        </w:rPr>
        <w:drawing>
          <wp:anchor distT="0" distB="0" distL="114300" distR="114300" simplePos="0" relativeHeight="251658240" behindDoc="0" locked="0" layoutInCell="1" allowOverlap="1" wp14:anchorId="03161BA7" wp14:editId="3852E230">
            <wp:simplePos x="0" y="0"/>
            <wp:positionH relativeFrom="column">
              <wp:posOffset>5989124</wp:posOffset>
            </wp:positionH>
            <wp:positionV relativeFrom="paragraph">
              <wp:posOffset>-737382</wp:posOffset>
            </wp:positionV>
            <wp:extent cx="1336431" cy="749211"/>
            <wp:effectExtent l="0" t="0" r="0" b="635"/>
            <wp:wrapNone/>
            <wp:docPr id="54686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86521" name=""/>
                    <pic:cNvPicPr/>
                  </pic:nvPicPr>
                  <pic:blipFill>
                    <a:blip r:embed="rId5">
                      <a:extLst>
                        <a:ext uri="{28A0092B-C50C-407E-A947-70E740481C1C}">
                          <a14:useLocalDpi xmlns:a14="http://schemas.microsoft.com/office/drawing/2010/main" val="0"/>
                        </a:ext>
                      </a:extLst>
                    </a:blip>
                    <a:stretch>
                      <a:fillRect/>
                    </a:stretch>
                  </pic:blipFill>
                  <pic:spPr>
                    <a:xfrm>
                      <a:off x="0" y="0"/>
                      <a:ext cx="1336431" cy="749211"/>
                    </a:xfrm>
                    <a:prstGeom prst="rect">
                      <a:avLst/>
                    </a:prstGeom>
                  </pic:spPr>
                </pic:pic>
              </a:graphicData>
            </a:graphic>
            <wp14:sizeRelH relativeFrom="page">
              <wp14:pctWidth>0</wp14:pctWidth>
            </wp14:sizeRelH>
            <wp14:sizeRelV relativeFrom="page">
              <wp14:pctHeight>0</wp14:pctHeight>
            </wp14:sizeRelV>
          </wp:anchor>
        </w:drawing>
      </w:r>
      <w:r w:rsidR="001871F9" w:rsidRPr="00AF359E">
        <w:rPr>
          <w:rFonts w:ascii="Aptos" w:eastAsia="Times New Roman" w:hAnsi="Aptos" w:cs="Times New Roman"/>
          <w:b/>
          <w:bCs/>
          <w:i/>
          <w:iCs/>
          <w:sz w:val="28"/>
          <w:szCs w:val="28"/>
        </w:rPr>
        <w:t>Geodes</w:t>
      </w:r>
      <w:r w:rsidR="001871F9" w:rsidRPr="00AF359E">
        <w:rPr>
          <w:rFonts w:ascii="Aptos" w:eastAsia="Times New Roman" w:hAnsi="Aptos" w:cs="Times New Roman"/>
          <w:b/>
          <w:bCs/>
          <w:sz w:val="28"/>
          <w:szCs w:val="28"/>
        </w:rPr>
        <w:t xml:space="preserve"> in Practice: Evidence of Efficacy and the Role of Implementation </w:t>
      </w:r>
    </w:p>
    <w:p w14:paraId="5DA95BB8" w14:textId="33A0C840" w:rsidR="001871F9" w:rsidRPr="00AF359E" w:rsidRDefault="001871F9" w:rsidP="001871F9">
      <w:pPr>
        <w:spacing w:after="0"/>
        <w:jc w:val="center"/>
        <w:rPr>
          <w:rFonts w:ascii="Aptos" w:eastAsia="Times New Roman" w:hAnsi="Aptos" w:cs="Times New Roman"/>
          <w:b/>
          <w:bCs/>
          <w:sz w:val="28"/>
          <w:szCs w:val="28"/>
        </w:rPr>
      </w:pPr>
      <w:r w:rsidRPr="00AF359E">
        <w:rPr>
          <w:rFonts w:ascii="Aptos" w:eastAsia="Times New Roman" w:hAnsi="Aptos" w:cs="Times New Roman"/>
          <w:b/>
          <w:bCs/>
          <w:sz w:val="28"/>
          <w:szCs w:val="28"/>
        </w:rPr>
        <w:t>Supports in Driving Reading Gains</w:t>
      </w:r>
    </w:p>
    <w:p w14:paraId="24D7FA0F" w14:textId="045E6287" w:rsidR="001871F9" w:rsidRPr="001871F9" w:rsidRDefault="001871F9" w:rsidP="001871F9">
      <w:pPr>
        <w:spacing w:after="0"/>
        <w:jc w:val="center"/>
        <w:rPr>
          <w:rFonts w:ascii="Aptos" w:eastAsia="Times New Roman" w:hAnsi="Aptos" w:cs="Times New Roman"/>
        </w:rPr>
      </w:pPr>
      <w:r w:rsidRPr="001871F9">
        <w:rPr>
          <w:rFonts w:ascii="Aptos" w:eastAsia="Times New Roman" w:hAnsi="Aptos" w:cs="Times New Roman"/>
        </w:rPr>
        <w:t>Susan B. Neuman</w:t>
      </w:r>
    </w:p>
    <w:p w14:paraId="13C92907" w14:textId="50440725" w:rsidR="001871F9" w:rsidRPr="001871F9" w:rsidRDefault="001871F9" w:rsidP="001871F9">
      <w:pPr>
        <w:spacing w:after="0"/>
        <w:jc w:val="center"/>
        <w:rPr>
          <w:rFonts w:ascii="Aptos" w:eastAsia="Times New Roman" w:hAnsi="Aptos" w:cs="Times New Roman"/>
        </w:rPr>
      </w:pPr>
      <w:r w:rsidRPr="001871F9">
        <w:rPr>
          <w:rFonts w:ascii="Aptos" w:eastAsia="Times New Roman" w:hAnsi="Aptos" w:cs="Times New Roman"/>
        </w:rPr>
        <w:t>New York University</w:t>
      </w:r>
    </w:p>
    <w:p w14:paraId="077D3EEB" w14:textId="7E403516" w:rsidR="39A43F77" w:rsidRPr="00525211" w:rsidRDefault="001871F9" w:rsidP="39A43F77">
      <w:pPr>
        <w:spacing w:beforeAutospacing="1" w:afterAutospacing="1"/>
        <w:rPr>
          <w:rFonts w:ascii="Aptos" w:eastAsia="Times New Roman" w:hAnsi="Aptos" w:cs="Times New Roman"/>
          <w:color w:val="A02B93" w:themeColor="accent5"/>
          <w:sz w:val="28"/>
          <w:szCs w:val="28"/>
        </w:rPr>
      </w:pPr>
      <w:r w:rsidRPr="004833EC">
        <w:rPr>
          <w:rFonts w:ascii="Aptos" w:eastAsia="Times New Roman" w:hAnsi="Aptos" w:cs="Times New Roman"/>
          <w:b/>
          <w:bCs/>
          <w:color w:val="A02B93" w:themeColor="accent5"/>
          <w:sz w:val="28"/>
          <w:szCs w:val="28"/>
        </w:rPr>
        <w:t>Abstract</w:t>
      </w:r>
    </w:p>
    <w:p w14:paraId="74586874" w14:textId="089CB32C" w:rsidR="001871F9" w:rsidRPr="001871F9" w:rsidRDefault="001871F9" w:rsidP="39A43F77">
      <w:pPr>
        <w:spacing w:before="100" w:beforeAutospacing="1" w:after="100" w:afterAutospacing="1"/>
        <w:jc w:val="both"/>
        <w:rPr>
          <w:rFonts w:ascii="Aptos" w:eastAsia="Times New Roman" w:hAnsi="Aptos" w:cs="Times New Roman"/>
        </w:rPr>
      </w:pPr>
      <w:r w:rsidRPr="1901DA99">
        <w:rPr>
          <w:rFonts w:ascii="Aptos" w:eastAsia="Times New Roman" w:hAnsi="Aptos" w:cs="Times New Roman"/>
        </w:rPr>
        <w:t xml:space="preserve">This study evaluates the effectiveness of </w:t>
      </w:r>
      <w:r w:rsidR="3176807D" w:rsidRPr="1901DA99">
        <w:rPr>
          <w:rFonts w:ascii="Aptos" w:eastAsia="Times New Roman" w:hAnsi="Aptos" w:cs="Times New Roman"/>
          <w:i/>
          <w:iCs/>
        </w:rPr>
        <w:t>Geodes®</w:t>
      </w:r>
      <w:r w:rsidRPr="1901DA99">
        <w:rPr>
          <w:rFonts w:ascii="Aptos" w:eastAsia="Times New Roman" w:hAnsi="Aptos" w:cs="Times New Roman"/>
        </w:rPr>
        <w:t xml:space="preserve">—a collection of </w:t>
      </w:r>
      <w:proofErr w:type="gramStart"/>
      <w:r w:rsidRPr="1901DA99">
        <w:rPr>
          <w:rFonts w:ascii="Aptos" w:eastAsia="Times New Roman" w:hAnsi="Aptos" w:cs="Times New Roman"/>
        </w:rPr>
        <w:t>decodable</w:t>
      </w:r>
      <w:proofErr w:type="gramEnd"/>
      <w:r w:rsidRPr="1901DA99">
        <w:rPr>
          <w:rFonts w:ascii="Aptos" w:eastAsia="Times New Roman" w:hAnsi="Aptos" w:cs="Times New Roman"/>
        </w:rPr>
        <w:t xml:space="preserve">, knowledge-building texts—in improving student reading fluency within the context of a mandated literacy reform. In partnership with a large urban district participating in New York City’s NYC Reads initiative, we examined </w:t>
      </w:r>
      <w:r w:rsidRPr="1901DA99">
        <w:rPr>
          <w:rFonts w:ascii="Aptos" w:eastAsia="Times New Roman" w:hAnsi="Aptos" w:cs="Times New Roman"/>
          <w:i/>
          <w:iCs/>
        </w:rPr>
        <w:t>Geodes</w:t>
      </w:r>
      <w:r w:rsidRPr="1901DA99">
        <w:rPr>
          <w:rFonts w:ascii="Aptos" w:eastAsia="Times New Roman" w:hAnsi="Aptos" w:cs="Times New Roman"/>
        </w:rPr>
        <w:t xml:space="preserve">' role as a bridge between foundational skills and core English Language Arts instruction. Using a design-based, mixed-methods approach, we provided teachers with implementation support, including coaching, lesson routines, and curriculum-aligned progress monitoring. Results demonstrate that students made significant gains in reading fluency over the school year, and classrooms with more consistent </w:t>
      </w:r>
      <w:r w:rsidRPr="1901DA99">
        <w:rPr>
          <w:rFonts w:ascii="Aptos" w:eastAsia="Times New Roman" w:hAnsi="Aptos" w:cs="Times New Roman"/>
          <w:i/>
          <w:iCs/>
        </w:rPr>
        <w:t>Geodes</w:t>
      </w:r>
      <w:r w:rsidRPr="1901DA99">
        <w:rPr>
          <w:rFonts w:ascii="Aptos" w:eastAsia="Times New Roman" w:hAnsi="Aptos" w:cs="Times New Roman"/>
        </w:rPr>
        <w:t xml:space="preserve"> use showed the greatest growth. Our findings suggest that while </w:t>
      </w:r>
      <w:r w:rsidRPr="1901DA99">
        <w:rPr>
          <w:rFonts w:ascii="Aptos" w:eastAsia="Times New Roman" w:hAnsi="Aptos" w:cs="Times New Roman"/>
          <w:i/>
          <w:iCs/>
        </w:rPr>
        <w:t>Geodes</w:t>
      </w:r>
      <w:r w:rsidRPr="1901DA99">
        <w:rPr>
          <w:rFonts w:ascii="Aptos" w:eastAsia="Times New Roman" w:hAnsi="Aptos" w:cs="Times New Roman"/>
        </w:rPr>
        <w:t xml:space="preserve"> is an effective instructional tool, its impact is enhanced when embedded within a responsive implementation support structure.</w:t>
      </w:r>
    </w:p>
    <w:p w14:paraId="7EAC1C2E" w14:textId="77777777" w:rsidR="001871F9" w:rsidRPr="001871F9" w:rsidRDefault="00266AB7" w:rsidP="39A43F77">
      <w:pPr>
        <w:spacing w:after="0"/>
        <w:jc w:val="both"/>
        <w:rPr>
          <w:rFonts w:ascii="Aptos" w:eastAsia="Times New Roman" w:hAnsi="Aptos" w:cs="Times New Roman"/>
        </w:rPr>
      </w:pPr>
      <w:r>
        <w:rPr>
          <w:rFonts w:ascii="Aptos" w:eastAsia="Times New Roman" w:hAnsi="Aptos" w:cs="Times New Roman"/>
          <w:noProof/>
        </w:rPr>
        <w:pict w14:anchorId="26331736">
          <v:rect id="_x0000_i1029" alt="" style="width:468pt;height:.05pt;mso-width-percent:0;mso-height-percent:0;mso-width-percent:0;mso-height-percent:0" o:hralign="center" o:hrstd="t" o:hr="t" fillcolor="#a0a0a0" stroked="f"/>
        </w:pict>
      </w:r>
    </w:p>
    <w:p w14:paraId="05F7B1A9" w14:textId="0003FE36" w:rsidR="39A43F77" w:rsidRPr="00525211" w:rsidRDefault="001871F9" w:rsidP="00525211">
      <w:pPr>
        <w:spacing w:before="100" w:beforeAutospacing="1" w:after="100" w:afterAutospacing="1"/>
        <w:jc w:val="both"/>
        <w:rPr>
          <w:rFonts w:ascii="Aptos" w:eastAsia="Times New Roman" w:hAnsi="Aptos" w:cs="Times New Roman"/>
          <w:color w:val="A02B93" w:themeColor="accent5"/>
          <w:sz w:val="28"/>
          <w:szCs w:val="28"/>
        </w:rPr>
      </w:pPr>
      <w:r w:rsidRPr="004833EC">
        <w:rPr>
          <w:rFonts w:ascii="Aptos" w:eastAsia="Times New Roman" w:hAnsi="Aptos" w:cs="Times New Roman"/>
          <w:b/>
          <w:bCs/>
          <w:color w:val="A02B93" w:themeColor="accent5"/>
          <w:sz w:val="28"/>
          <w:szCs w:val="28"/>
        </w:rPr>
        <w:t>Introduction</w:t>
      </w:r>
    </w:p>
    <w:p w14:paraId="67D278DD" w14:textId="29A89D80" w:rsidR="001871F9" w:rsidRPr="001871F9" w:rsidRDefault="001871F9" w:rsidP="39A43F77">
      <w:pPr>
        <w:spacing w:before="100" w:beforeAutospacing="1" w:after="100" w:afterAutospacing="1"/>
        <w:jc w:val="both"/>
        <w:rPr>
          <w:rFonts w:ascii="Aptos" w:eastAsia="Times New Roman" w:hAnsi="Aptos" w:cs="Times New Roman"/>
        </w:rPr>
      </w:pPr>
      <w:r w:rsidRPr="1901DA99">
        <w:rPr>
          <w:rFonts w:ascii="Aptos" w:eastAsia="Times New Roman" w:hAnsi="Aptos" w:cs="Times New Roman"/>
        </w:rPr>
        <w:t xml:space="preserve">In 2023, New York City launched NYC Reads, a sweeping initiative requiring all elementary schools to adopt curricula aligned with the science of reading. Among the three approved ELA programs, </w:t>
      </w:r>
      <w:r w:rsidRPr="1901DA99">
        <w:rPr>
          <w:rFonts w:ascii="Aptos" w:eastAsia="Times New Roman" w:hAnsi="Aptos" w:cs="Times New Roman"/>
          <w:i/>
          <w:iCs/>
        </w:rPr>
        <w:t>Wit &amp; Wisdom</w:t>
      </w:r>
      <w:r w:rsidR="04AF1052" w:rsidRPr="1901DA99">
        <w:rPr>
          <w:rFonts w:ascii="Aptos" w:eastAsia="Times New Roman" w:hAnsi="Aptos" w:cs="Times New Roman"/>
          <w:i/>
          <w:iCs/>
        </w:rPr>
        <w:t xml:space="preserve"> ®</w:t>
      </w:r>
      <w:r w:rsidRPr="1901DA99">
        <w:rPr>
          <w:rFonts w:ascii="Aptos" w:eastAsia="Times New Roman" w:hAnsi="Aptos" w:cs="Times New Roman"/>
        </w:rPr>
        <w:t xml:space="preserve"> was selected by District X as its Tier 1 core curriculum.</w:t>
      </w:r>
      <w:r w:rsidR="4BB9A927" w:rsidRPr="1901DA99">
        <w:rPr>
          <w:rFonts w:ascii="Aptos" w:eastAsia="Times New Roman" w:hAnsi="Aptos" w:cs="Times New Roman"/>
        </w:rPr>
        <w:t xml:space="preserve"> </w:t>
      </w:r>
      <w:r w:rsidR="4BB9A927" w:rsidRPr="1901DA99">
        <w:rPr>
          <w:rFonts w:ascii="Aptos" w:eastAsia="Times New Roman" w:hAnsi="Aptos" w:cs="Times New Roman"/>
          <w:i/>
          <w:iCs/>
        </w:rPr>
        <w:t xml:space="preserve">Wit &amp; </w:t>
      </w:r>
      <w:r w:rsidR="4BB9A927" w:rsidRPr="1901DA99">
        <w:rPr>
          <w:rFonts w:eastAsiaTheme="minorEastAsia"/>
          <w:i/>
          <w:iCs/>
        </w:rPr>
        <w:t>Wisdom</w:t>
      </w:r>
      <w:r w:rsidR="4BB9A927" w:rsidRPr="1901DA99">
        <w:rPr>
          <w:rFonts w:eastAsiaTheme="minorEastAsia"/>
        </w:rPr>
        <w:t xml:space="preserve"> offers foundational skills through an integration with </w:t>
      </w:r>
      <w:proofErr w:type="spellStart"/>
      <w:r w:rsidR="4BB9A927" w:rsidRPr="1901DA99">
        <w:rPr>
          <w:rFonts w:eastAsiaTheme="minorEastAsia"/>
        </w:rPr>
        <w:t>Fundations</w:t>
      </w:r>
      <w:proofErr w:type="spellEnd"/>
      <w:r w:rsidR="4BB9A927" w:rsidRPr="1901DA99">
        <w:rPr>
          <w:rFonts w:eastAsiaTheme="minorEastAsia"/>
        </w:rPr>
        <w:t xml:space="preserve">. </w:t>
      </w:r>
      <w:r w:rsidR="4BB9A927" w:rsidRPr="1901DA99">
        <w:rPr>
          <w:rFonts w:eastAsiaTheme="minorEastAsia"/>
          <w:i/>
          <w:iCs/>
        </w:rPr>
        <w:t>Geodes</w:t>
      </w:r>
      <w:r w:rsidR="4BB9A927" w:rsidRPr="1901DA99">
        <w:rPr>
          <w:rFonts w:eastAsiaTheme="minorEastAsia"/>
        </w:rPr>
        <w:t>, a collection of information-rich K-3 books that provide emerging and developing readers with an opportunity to build knowledge while practicing foundational reading skills, is aligned with both programs.</w:t>
      </w:r>
      <w:r w:rsidRPr="1901DA99">
        <w:rPr>
          <w:rFonts w:eastAsiaTheme="minorEastAsia"/>
        </w:rPr>
        <w:t xml:space="preserve"> </w:t>
      </w:r>
      <w:r w:rsidRPr="1901DA99">
        <w:rPr>
          <w:rFonts w:ascii="Aptos" w:eastAsia="Times New Roman" w:hAnsi="Aptos" w:cs="Times New Roman"/>
        </w:rPr>
        <w:t xml:space="preserve">Although </w:t>
      </w:r>
      <w:r w:rsidRPr="1901DA99">
        <w:rPr>
          <w:rFonts w:ascii="Aptos" w:eastAsia="Times New Roman" w:hAnsi="Aptos" w:cs="Times New Roman"/>
          <w:i/>
          <w:iCs/>
        </w:rPr>
        <w:t>Geodes</w:t>
      </w:r>
      <w:r w:rsidRPr="1901DA99">
        <w:rPr>
          <w:rFonts w:ascii="Aptos" w:eastAsia="Times New Roman" w:hAnsi="Aptos" w:cs="Times New Roman"/>
        </w:rPr>
        <w:t xml:space="preserve"> was not mandated by the district, it was strongly recommended as a Tier 1 instructional resource to strengthen fluency and provide daily practice with connected text.</w:t>
      </w:r>
    </w:p>
    <w:p w14:paraId="1073B1B2" w14:textId="77777777" w:rsidR="001871F9" w:rsidRPr="001871F9" w:rsidRDefault="001871F9" w:rsidP="39A43F77">
      <w:pPr>
        <w:spacing w:before="100" w:beforeAutospacing="1" w:after="100" w:afterAutospacing="1"/>
        <w:jc w:val="both"/>
        <w:rPr>
          <w:rFonts w:eastAsiaTheme="minorEastAsia"/>
        </w:rPr>
      </w:pPr>
      <w:r w:rsidRPr="001871F9">
        <w:rPr>
          <w:rFonts w:ascii="Aptos" w:eastAsia="Times New Roman" w:hAnsi="Aptos" w:cs="Times New Roman"/>
        </w:rPr>
        <w:t>This st</w:t>
      </w:r>
      <w:r w:rsidRPr="39A43F77">
        <w:rPr>
          <w:rFonts w:eastAsiaTheme="minorEastAsia"/>
        </w:rPr>
        <w:t>udy addresses the following research questions:</w:t>
      </w:r>
    </w:p>
    <w:p w14:paraId="4174B35C" w14:textId="77777777" w:rsidR="001871F9" w:rsidRPr="001871F9" w:rsidRDefault="001871F9" w:rsidP="39A43F77">
      <w:pPr>
        <w:numPr>
          <w:ilvl w:val="0"/>
          <w:numId w:val="3"/>
        </w:numPr>
        <w:spacing w:before="100" w:beforeAutospacing="1" w:after="100" w:afterAutospacing="1"/>
        <w:jc w:val="both"/>
        <w:rPr>
          <w:rFonts w:eastAsiaTheme="minorEastAsia"/>
        </w:rPr>
      </w:pPr>
      <w:r w:rsidRPr="39A43F77">
        <w:rPr>
          <w:rFonts w:eastAsiaTheme="minorEastAsia"/>
        </w:rPr>
        <w:t xml:space="preserve">Does student use of </w:t>
      </w:r>
      <w:r w:rsidRPr="39A43F77">
        <w:rPr>
          <w:rFonts w:eastAsiaTheme="minorEastAsia"/>
          <w:i/>
        </w:rPr>
        <w:t>Geodes</w:t>
      </w:r>
      <w:r w:rsidRPr="39A43F77">
        <w:rPr>
          <w:rFonts w:eastAsiaTheme="minorEastAsia"/>
        </w:rPr>
        <w:t xml:space="preserve"> result in improved reading fluency?</w:t>
      </w:r>
    </w:p>
    <w:p w14:paraId="3511A504" w14:textId="77777777" w:rsidR="001871F9" w:rsidRPr="001871F9" w:rsidRDefault="001871F9" w:rsidP="39A43F77">
      <w:pPr>
        <w:numPr>
          <w:ilvl w:val="0"/>
          <w:numId w:val="3"/>
        </w:numPr>
        <w:spacing w:before="100" w:beforeAutospacing="1" w:after="100" w:afterAutospacing="1"/>
        <w:jc w:val="both"/>
        <w:rPr>
          <w:rFonts w:eastAsiaTheme="minorEastAsia"/>
        </w:rPr>
      </w:pPr>
      <w:r w:rsidRPr="39A43F77">
        <w:rPr>
          <w:rFonts w:eastAsiaTheme="minorEastAsia"/>
        </w:rPr>
        <w:t xml:space="preserve">Does the level of </w:t>
      </w:r>
      <w:r w:rsidRPr="39A43F77">
        <w:rPr>
          <w:rFonts w:eastAsiaTheme="minorEastAsia"/>
          <w:i/>
        </w:rPr>
        <w:t>Geodes</w:t>
      </w:r>
      <w:r w:rsidRPr="39A43F77">
        <w:rPr>
          <w:rFonts w:eastAsiaTheme="minorEastAsia"/>
        </w:rPr>
        <w:t xml:space="preserve"> implementation influence the degree of student reading gains?</w:t>
      </w:r>
    </w:p>
    <w:p w14:paraId="00F46712" w14:textId="77777777" w:rsidR="001871F9" w:rsidRPr="001871F9" w:rsidRDefault="001871F9" w:rsidP="39A43F77">
      <w:pPr>
        <w:numPr>
          <w:ilvl w:val="0"/>
          <w:numId w:val="3"/>
        </w:numPr>
        <w:spacing w:before="100" w:beforeAutospacing="1" w:after="100" w:afterAutospacing="1"/>
        <w:jc w:val="both"/>
        <w:rPr>
          <w:rFonts w:ascii="Aptos" w:eastAsia="Times New Roman" w:hAnsi="Aptos" w:cs="Times New Roman"/>
        </w:rPr>
      </w:pPr>
      <w:r w:rsidRPr="39A43F77">
        <w:rPr>
          <w:rFonts w:eastAsiaTheme="minorEastAsia"/>
        </w:rPr>
        <w:t xml:space="preserve">What role do implementation supports play in facilitating consistent, effective use of </w:t>
      </w:r>
      <w:r w:rsidRPr="39A43F77">
        <w:rPr>
          <w:rFonts w:eastAsiaTheme="minorEastAsia"/>
          <w:i/>
        </w:rPr>
        <w:t>Geode</w:t>
      </w:r>
      <w:r w:rsidRPr="001871F9">
        <w:rPr>
          <w:rFonts w:ascii="Aptos" w:eastAsia="Times New Roman" w:hAnsi="Aptos" w:cs="Times New Roman"/>
          <w:i/>
          <w:iCs/>
        </w:rPr>
        <w:t>s</w:t>
      </w:r>
      <w:r w:rsidRPr="001871F9">
        <w:rPr>
          <w:rFonts w:ascii="Aptos" w:eastAsia="Times New Roman" w:hAnsi="Aptos" w:cs="Times New Roman"/>
        </w:rPr>
        <w:t>?</w:t>
      </w:r>
    </w:p>
    <w:p w14:paraId="3B22BE22" w14:textId="77777777" w:rsidR="001871F9" w:rsidRPr="001871F9" w:rsidRDefault="00266AB7" w:rsidP="39A43F77">
      <w:pPr>
        <w:spacing w:after="0"/>
        <w:jc w:val="both"/>
        <w:rPr>
          <w:rFonts w:ascii="Aptos" w:eastAsia="Times New Roman" w:hAnsi="Aptos" w:cs="Times New Roman"/>
        </w:rPr>
      </w:pPr>
      <w:r>
        <w:rPr>
          <w:rFonts w:ascii="Aptos" w:eastAsia="Times New Roman" w:hAnsi="Aptos" w:cs="Times New Roman"/>
          <w:noProof/>
        </w:rPr>
        <w:pict w14:anchorId="110E31B6">
          <v:rect id="_x0000_i1028" alt="" style="width:468pt;height:.05pt;mso-width-percent:0;mso-height-percent:0;mso-width-percent:0;mso-height-percent:0" o:hralign="center" o:hrstd="t" o:hr="t" fillcolor="#a0a0a0" stroked="f"/>
        </w:pict>
      </w:r>
    </w:p>
    <w:p w14:paraId="6E5598A8" w14:textId="2910A7A8" w:rsidR="39A43F77" w:rsidRPr="00525211" w:rsidRDefault="001871F9" w:rsidP="00525211">
      <w:pPr>
        <w:spacing w:before="100" w:beforeAutospacing="1" w:after="100" w:afterAutospacing="1"/>
        <w:jc w:val="both"/>
        <w:rPr>
          <w:rFonts w:ascii="Aptos" w:eastAsia="Times New Roman" w:hAnsi="Aptos" w:cs="Times New Roman"/>
          <w:color w:val="A02B93" w:themeColor="accent5"/>
          <w:sz w:val="28"/>
          <w:szCs w:val="28"/>
        </w:rPr>
      </w:pPr>
      <w:r w:rsidRPr="004833EC">
        <w:rPr>
          <w:rFonts w:ascii="Aptos" w:eastAsia="Times New Roman" w:hAnsi="Aptos" w:cs="Times New Roman"/>
          <w:b/>
          <w:bCs/>
          <w:color w:val="A02B93" w:themeColor="accent5"/>
          <w:sz w:val="28"/>
          <w:szCs w:val="28"/>
        </w:rPr>
        <w:t>Methods</w:t>
      </w:r>
    </w:p>
    <w:p w14:paraId="71266C07" w14:textId="77777777" w:rsidR="001871F9" w:rsidRPr="001871F9" w:rsidRDefault="001871F9" w:rsidP="39A43F77">
      <w:pPr>
        <w:spacing w:before="100" w:beforeAutospacing="1" w:after="100" w:afterAutospacing="1"/>
        <w:jc w:val="both"/>
        <w:rPr>
          <w:rFonts w:ascii="Aptos" w:eastAsia="Times New Roman" w:hAnsi="Aptos" w:cs="Times New Roman"/>
        </w:rPr>
      </w:pPr>
      <w:r w:rsidRPr="001871F9">
        <w:rPr>
          <w:rFonts w:ascii="Aptos" w:eastAsia="Times New Roman" w:hAnsi="Aptos" w:cs="Times New Roman"/>
          <w:b/>
          <w:bCs/>
        </w:rPr>
        <w:t>Participants and Setting</w:t>
      </w:r>
    </w:p>
    <w:p w14:paraId="606C7DAB" w14:textId="1DBF23FE" w:rsidR="39A43F77" w:rsidRPr="00525211" w:rsidRDefault="001871F9" w:rsidP="00525211">
      <w:pPr>
        <w:spacing w:before="100" w:beforeAutospacing="1" w:after="100" w:afterAutospacing="1"/>
        <w:jc w:val="both"/>
        <w:rPr>
          <w:rFonts w:ascii="Aptos" w:eastAsia="Times New Roman" w:hAnsi="Aptos" w:cs="Times New Roman"/>
        </w:rPr>
      </w:pPr>
      <w:r w:rsidRPr="001871F9">
        <w:rPr>
          <w:rFonts w:ascii="Aptos" w:eastAsia="Times New Roman" w:hAnsi="Aptos" w:cs="Times New Roman"/>
        </w:rPr>
        <w:lastRenderedPageBreak/>
        <w:t>This study took place in 14 first-grade classrooms across District X, a demographically diverse, high-needs urban district in New York City. Forty-five teachers across 38 classrooms participated, including general education and integrated co-teaching classrooms. The participating student sample (n = 405) was evenly split by gender and diverse across racial/ethnic lines.</w:t>
      </w:r>
    </w:p>
    <w:p w14:paraId="4E1AD753" w14:textId="77777777" w:rsidR="001871F9" w:rsidRPr="001871F9" w:rsidRDefault="001871F9" w:rsidP="001871F9">
      <w:pPr>
        <w:spacing w:before="100" w:beforeAutospacing="1" w:after="100" w:afterAutospacing="1"/>
        <w:rPr>
          <w:rFonts w:ascii="Aptos" w:eastAsia="Times New Roman" w:hAnsi="Aptos" w:cs="Times New Roman"/>
        </w:rPr>
      </w:pPr>
      <w:r w:rsidRPr="001871F9">
        <w:rPr>
          <w:rFonts w:ascii="Aptos" w:eastAsia="Times New Roman" w:hAnsi="Aptos" w:cs="Times New Roman"/>
          <w:b/>
          <w:bCs/>
        </w:rPr>
        <w:t>Table 1. Demographic Characteristics of Teacher and Student Samples</w:t>
      </w:r>
    </w:p>
    <w:tbl>
      <w:tblPr>
        <w:tblStyle w:val="TableGrid"/>
        <w:tblW w:w="0" w:type="auto"/>
        <w:tblLook w:val="04A0" w:firstRow="1" w:lastRow="0" w:firstColumn="1" w:lastColumn="0" w:noHBand="0" w:noVBand="1"/>
      </w:tblPr>
      <w:tblGrid>
        <w:gridCol w:w="2611"/>
        <w:gridCol w:w="6493"/>
      </w:tblGrid>
      <w:tr w:rsidR="001871F9" w:rsidRPr="001871F9" w14:paraId="7D47A312" w14:textId="77777777" w:rsidTr="1901DA99">
        <w:tc>
          <w:tcPr>
            <w:tcW w:w="0" w:type="auto"/>
            <w:hideMark/>
          </w:tcPr>
          <w:p w14:paraId="76C3582D" w14:textId="77777777" w:rsidR="001871F9" w:rsidRPr="001871F9" w:rsidRDefault="001871F9" w:rsidP="001871F9">
            <w:pPr>
              <w:jc w:val="center"/>
              <w:rPr>
                <w:rFonts w:ascii="Aptos" w:eastAsia="Times New Roman" w:hAnsi="Aptos" w:cs="Times New Roman"/>
                <w:b/>
                <w:bCs/>
                <w:sz w:val="22"/>
                <w:szCs w:val="22"/>
              </w:rPr>
            </w:pPr>
            <w:r w:rsidRPr="001871F9">
              <w:rPr>
                <w:rFonts w:ascii="Aptos" w:eastAsia="Times New Roman" w:hAnsi="Aptos" w:cs="Times New Roman"/>
                <w:b/>
                <w:bCs/>
                <w:sz w:val="22"/>
                <w:szCs w:val="22"/>
              </w:rPr>
              <w:t>Characteristic</w:t>
            </w:r>
          </w:p>
        </w:tc>
        <w:tc>
          <w:tcPr>
            <w:tcW w:w="6493" w:type="dxa"/>
            <w:hideMark/>
          </w:tcPr>
          <w:p w14:paraId="3F1AAC0F" w14:textId="77777777" w:rsidR="001871F9" w:rsidRPr="001871F9" w:rsidRDefault="001871F9" w:rsidP="001871F9">
            <w:pPr>
              <w:jc w:val="center"/>
              <w:rPr>
                <w:rFonts w:ascii="Aptos" w:eastAsia="Times New Roman" w:hAnsi="Aptos" w:cs="Times New Roman"/>
                <w:b/>
                <w:bCs/>
                <w:sz w:val="22"/>
                <w:szCs w:val="22"/>
              </w:rPr>
            </w:pPr>
            <w:r w:rsidRPr="001871F9">
              <w:rPr>
                <w:rFonts w:ascii="Aptos" w:eastAsia="Times New Roman" w:hAnsi="Aptos" w:cs="Times New Roman"/>
                <w:b/>
                <w:bCs/>
                <w:sz w:val="22"/>
                <w:szCs w:val="22"/>
              </w:rPr>
              <w:t>Number</w:t>
            </w:r>
          </w:p>
        </w:tc>
      </w:tr>
      <w:tr w:rsidR="001871F9" w:rsidRPr="001871F9" w14:paraId="180C9B5B" w14:textId="77777777" w:rsidTr="1901DA99">
        <w:tc>
          <w:tcPr>
            <w:tcW w:w="0" w:type="auto"/>
            <w:hideMark/>
          </w:tcPr>
          <w:p w14:paraId="4047F1C2" w14:textId="77777777" w:rsidR="001871F9" w:rsidRPr="001871F9" w:rsidRDefault="001871F9" w:rsidP="001871F9">
            <w:pPr>
              <w:rPr>
                <w:rFonts w:ascii="Aptos" w:eastAsia="Times New Roman" w:hAnsi="Aptos" w:cs="Times New Roman"/>
                <w:sz w:val="22"/>
                <w:szCs w:val="22"/>
              </w:rPr>
            </w:pPr>
            <w:r w:rsidRPr="001871F9">
              <w:rPr>
                <w:rFonts w:ascii="Aptos" w:eastAsia="Times New Roman" w:hAnsi="Aptos" w:cs="Times New Roman"/>
                <w:sz w:val="22"/>
                <w:szCs w:val="22"/>
              </w:rPr>
              <w:t>Total classrooms</w:t>
            </w:r>
          </w:p>
        </w:tc>
        <w:tc>
          <w:tcPr>
            <w:tcW w:w="6493" w:type="dxa"/>
            <w:hideMark/>
          </w:tcPr>
          <w:p w14:paraId="231281DC" w14:textId="77777777" w:rsidR="001871F9" w:rsidRPr="001871F9" w:rsidRDefault="001871F9" w:rsidP="001871F9">
            <w:pPr>
              <w:rPr>
                <w:rFonts w:ascii="Aptos" w:eastAsia="Times New Roman" w:hAnsi="Aptos" w:cs="Times New Roman"/>
                <w:sz w:val="22"/>
                <w:szCs w:val="22"/>
              </w:rPr>
            </w:pPr>
            <w:r w:rsidRPr="001871F9">
              <w:rPr>
                <w:rFonts w:ascii="Aptos" w:eastAsia="Times New Roman" w:hAnsi="Aptos" w:cs="Times New Roman"/>
                <w:sz w:val="22"/>
                <w:szCs w:val="22"/>
              </w:rPr>
              <w:t>35</w:t>
            </w:r>
          </w:p>
        </w:tc>
      </w:tr>
      <w:tr w:rsidR="001871F9" w:rsidRPr="001871F9" w14:paraId="0F78D8E5" w14:textId="77777777" w:rsidTr="1901DA99">
        <w:tc>
          <w:tcPr>
            <w:tcW w:w="0" w:type="auto"/>
            <w:hideMark/>
          </w:tcPr>
          <w:p w14:paraId="36B0C202" w14:textId="77777777" w:rsidR="001871F9" w:rsidRPr="001871F9" w:rsidRDefault="001871F9" w:rsidP="001871F9">
            <w:pPr>
              <w:rPr>
                <w:rFonts w:ascii="Aptos" w:eastAsia="Times New Roman" w:hAnsi="Aptos" w:cs="Times New Roman"/>
                <w:sz w:val="22"/>
                <w:szCs w:val="22"/>
              </w:rPr>
            </w:pPr>
            <w:r w:rsidRPr="001871F9">
              <w:rPr>
                <w:rFonts w:ascii="Aptos" w:eastAsia="Times New Roman" w:hAnsi="Aptos" w:cs="Times New Roman"/>
                <w:sz w:val="22"/>
                <w:szCs w:val="22"/>
              </w:rPr>
              <w:t>Total teachers</w:t>
            </w:r>
          </w:p>
        </w:tc>
        <w:tc>
          <w:tcPr>
            <w:tcW w:w="6493" w:type="dxa"/>
            <w:hideMark/>
          </w:tcPr>
          <w:p w14:paraId="360F994C" w14:textId="77777777" w:rsidR="001871F9" w:rsidRPr="001871F9" w:rsidRDefault="001871F9" w:rsidP="001871F9">
            <w:pPr>
              <w:rPr>
                <w:rFonts w:ascii="Aptos" w:eastAsia="Times New Roman" w:hAnsi="Aptos" w:cs="Times New Roman"/>
                <w:sz w:val="22"/>
                <w:szCs w:val="22"/>
              </w:rPr>
            </w:pPr>
            <w:r w:rsidRPr="001871F9">
              <w:rPr>
                <w:rFonts w:ascii="Aptos" w:eastAsia="Times New Roman" w:hAnsi="Aptos" w:cs="Times New Roman"/>
                <w:sz w:val="22"/>
                <w:szCs w:val="22"/>
              </w:rPr>
              <w:t>57</w:t>
            </w:r>
          </w:p>
        </w:tc>
      </w:tr>
      <w:tr w:rsidR="001871F9" w:rsidRPr="001871F9" w14:paraId="7C5F2148" w14:textId="77777777" w:rsidTr="1901DA99">
        <w:tc>
          <w:tcPr>
            <w:tcW w:w="0" w:type="auto"/>
            <w:hideMark/>
          </w:tcPr>
          <w:p w14:paraId="2A258C54" w14:textId="77777777" w:rsidR="001871F9" w:rsidRPr="001871F9" w:rsidRDefault="001871F9" w:rsidP="001871F9">
            <w:pPr>
              <w:rPr>
                <w:rFonts w:ascii="Aptos" w:eastAsia="Times New Roman" w:hAnsi="Aptos" w:cs="Times New Roman"/>
                <w:sz w:val="22"/>
                <w:szCs w:val="22"/>
              </w:rPr>
            </w:pPr>
            <w:r w:rsidRPr="001871F9">
              <w:rPr>
                <w:rFonts w:ascii="Aptos" w:eastAsia="Times New Roman" w:hAnsi="Aptos" w:cs="Times New Roman"/>
                <w:sz w:val="22"/>
                <w:szCs w:val="22"/>
              </w:rPr>
              <w:t>Gender (teachers)</w:t>
            </w:r>
          </w:p>
        </w:tc>
        <w:tc>
          <w:tcPr>
            <w:tcW w:w="6493" w:type="dxa"/>
            <w:hideMark/>
          </w:tcPr>
          <w:p w14:paraId="7D8542C3" w14:textId="77777777" w:rsidR="001871F9" w:rsidRPr="001871F9" w:rsidRDefault="001871F9" w:rsidP="001871F9">
            <w:pPr>
              <w:rPr>
                <w:rFonts w:ascii="Aptos" w:eastAsia="Times New Roman" w:hAnsi="Aptos" w:cs="Times New Roman"/>
                <w:sz w:val="22"/>
                <w:szCs w:val="22"/>
              </w:rPr>
            </w:pPr>
            <w:r w:rsidRPr="001871F9">
              <w:rPr>
                <w:rFonts w:ascii="Aptos" w:eastAsia="Times New Roman" w:hAnsi="Aptos" w:cs="Times New Roman"/>
                <w:sz w:val="22"/>
                <w:szCs w:val="22"/>
              </w:rPr>
              <w:t>53 Female, 4 Male</w:t>
            </w:r>
          </w:p>
        </w:tc>
      </w:tr>
      <w:tr w:rsidR="001871F9" w:rsidRPr="001871F9" w14:paraId="2C5772A2" w14:textId="77777777" w:rsidTr="1901DA99">
        <w:tc>
          <w:tcPr>
            <w:tcW w:w="0" w:type="auto"/>
            <w:hideMark/>
          </w:tcPr>
          <w:p w14:paraId="688CBD51" w14:textId="77777777" w:rsidR="001871F9" w:rsidRPr="001871F9" w:rsidRDefault="001871F9" w:rsidP="001871F9">
            <w:pPr>
              <w:rPr>
                <w:rFonts w:ascii="Aptos" w:eastAsia="Times New Roman" w:hAnsi="Aptos" w:cs="Times New Roman"/>
                <w:sz w:val="22"/>
                <w:szCs w:val="22"/>
              </w:rPr>
            </w:pPr>
            <w:r w:rsidRPr="001871F9">
              <w:rPr>
                <w:rFonts w:ascii="Aptos" w:eastAsia="Times New Roman" w:hAnsi="Aptos" w:cs="Times New Roman"/>
                <w:sz w:val="22"/>
                <w:szCs w:val="22"/>
              </w:rPr>
              <w:t>Race/Ethnicity (teachers)</w:t>
            </w:r>
          </w:p>
        </w:tc>
        <w:tc>
          <w:tcPr>
            <w:tcW w:w="6493" w:type="dxa"/>
            <w:hideMark/>
          </w:tcPr>
          <w:p w14:paraId="7A47B77F" w14:textId="77777777" w:rsidR="001871F9" w:rsidRPr="001871F9" w:rsidRDefault="001871F9" w:rsidP="001871F9">
            <w:pPr>
              <w:rPr>
                <w:rFonts w:ascii="Aptos" w:eastAsia="Times New Roman" w:hAnsi="Aptos" w:cs="Times New Roman"/>
                <w:sz w:val="22"/>
                <w:szCs w:val="22"/>
              </w:rPr>
            </w:pPr>
            <w:r w:rsidRPr="001871F9">
              <w:rPr>
                <w:rFonts w:ascii="Aptos" w:eastAsia="Times New Roman" w:hAnsi="Aptos" w:cs="Times New Roman"/>
                <w:sz w:val="22"/>
                <w:szCs w:val="22"/>
              </w:rPr>
              <w:t>36 White, 11 Asian, 6 Latina, 4 Black</w:t>
            </w:r>
          </w:p>
        </w:tc>
      </w:tr>
      <w:tr w:rsidR="001871F9" w:rsidRPr="001871F9" w14:paraId="07B9E716" w14:textId="77777777" w:rsidTr="1901DA99">
        <w:tc>
          <w:tcPr>
            <w:tcW w:w="0" w:type="auto"/>
            <w:hideMark/>
          </w:tcPr>
          <w:p w14:paraId="31D56F1E" w14:textId="77777777" w:rsidR="001871F9" w:rsidRPr="001871F9" w:rsidRDefault="001871F9" w:rsidP="001871F9">
            <w:pPr>
              <w:rPr>
                <w:rFonts w:ascii="Aptos" w:eastAsia="Times New Roman" w:hAnsi="Aptos" w:cs="Times New Roman"/>
                <w:sz w:val="22"/>
                <w:szCs w:val="22"/>
              </w:rPr>
            </w:pPr>
            <w:r w:rsidRPr="001871F9">
              <w:rPr>
                <w:rFonts w:ascii="Aptos" w:eastAsia="Times New Roman" w:hAnsi="Aptos" w:cs="Times New Roman"/>
                <w:sz w:val="22"/>
                <w:szCs w:val="22"/>
              </w:rPr>
              <w:t>Years of teaching</w:t>
            </w:r>
          </w:p>
        </w:tc>
        <w:tc>
          <w:tcPr>
            <w:tcW w:w="6493" w:type="dxa"/>
            <w:hideMark/>
          </w:tcPr>
          <w:p w14:paraId="6414A990" w14:textId="77777777" w:rsidR="001871F9" w:rsidRPr="001871F9" w:rsidRDefault="001871F9" w:rsidP="001871F9">
            <w:pPr>
              <w:rPr>
                <w:rFonts w:ascii="Aptos" w:eastAsia="Times New Roman" w:hAnsi="Aptos" w:cs="Times New Roman"/>
                <w:sz w:val="22"/>
                <w:szCs w:val="22"/>
              </w:rPr>
            </w:pPr>
            <w:r w:rsidRPr="001871F9">
              <w:rPr>
                <w:rFonts w:ascii="Aptos" w:eastAsia="Times New Roman" w:hAnsi="Aptos" w:cs="Times New Roman"/>
                <w:sz w:val="22"/>
                <w:szCs w:val="22"/>
              </w:rPr>
              <w:t>34 (10+), 17 (5-9), 6 (&lt;5)</w:t>
            </w:r>
          </w:p>
        </w:tc>
      </w:tr>
      <w:tr w:rsidR="001871F9" w:rsidRPr="001871F9" w14:paraId="7435294C" w14:textId="77777777" w:rsidTr="1901DA99">
        <w:tc>
          <w:tcPr>
            <w:tcW w:w="0" w:type="auto"/>
            <w:hideMark/>
          </w:tcPr>
          <w:p w14:paraId="01E2EE71" w14:textId="77777777" w:rsidR="001871F9" w:rsidRPr="001871F9" w:rsidRDefault="001871F9" w:rsidP="001871F9">
            <w:pPr>
              <w:rPr>
                <w:rFonts w:ascii="Aptos" w:eastAsia="Times New Roman" w:hAnsi="Aptos" w:cs="Times New Roman"/>
                <w:sz w:val="22"/>
                <w:szCs w:val="22"/>
              </w:rPr>
            </w:pPr>
            <w:r w:rsidRPr="001871F9">
              <w:rPr>
                <w:rFonts w:ascii="Aptos" w:eastAsia="Times New Roman" w:hAnsi="Aptos" w:cs="Times New Roman"/>
                <w:sz w:val="22"/>
                <w:szCs w:val="22"/>
              </w:rPr>
              <w:t>Student sample</w:t>
            </w:r>
          </w:p>
        </w:tc>
        <w:tc>
          <w:tcPr>
            <w:tcW w:w="6493" w:type="dxa"/>
            <w:hideMark/>
          </w:tcPr>
          <w:p w14:paraId="79E22868" w14:textId="77777777" w:rsidR="001871F9" w:rsidRPr="001871F9" w:rsidRDefault="001871F9" w:rsidP="001871F9">
            <w:pPr>
              <w:rPr>
                <w:rFonts w:ascii="Aptos" w:eastAsia="Times New Roman" w:hAnsi="Aptos" w:cs="Times New Roman"/>
                <w:sz w:val="22"/>
                <w:szCs w:val="22"/>
              </w:rPr>
            </w:pPr>
            <w:r w:rsidRPr="001871F9">
              <w:rPr>
                <w:rFonts w:ascii="Aptos" w:eastAsia="Times New Roman" w:hAnsi="Aptos" w:cs="Times New Roman"/>
                <w:sz w:val="22"/>
                <w:szCs w:val="22"/>
              </w:rPr>
              <w:t>405</w:t>
            </w:r>
          </w:p>
        </w:tc>
      </w:tr>
      <w:tr w:rsidR="001871F9" w:rsidRPr="001871F9" w14:paraId="6388728D" w14:textId="77777777" w:rsidTr="1901DA99">
        <w:tc>
          <w:tcPr>
            <w:tcW w:w="0" w:type="auto"/>
            <w:hideMark/>
          </w:tcPr>
          <w:p w14:paraId="367E419F" w14:textId="77777777" w:rsidR="001871F9" w:rsidRPr="001871F9" w:rsidRDefault="001871F9" w:rsidP="001871F9">
            <w:pPr>
              <w:rPr>
                <w:rFonts w:ascii="Aptos" w:eastAsia="Times New Roman" w:hAnsi="Aptos" w:cs="Times New Roman"/>
                <w:sz w:val="22"/>
                <w:szCs w:val="22"/>
              </w:rPr>
            </w:pPr>
            <w:r w:rsidRPr="001871F9">
              <w:rPr>
                <w:rFonts w:ascii="Aptos" w:eastAsia="Times New Roman" w:hAnsi="Aptos" w:cs="Times New Roman"/>
                <w:sz w:val="22"/>
                <w:szCs w:val="22"/>
              </w:rPr>
              <w:t>Student gender</w:t>
            </w:r>
          </w:p>
        </w:tc>
        <w:tc>
          <w:tcPr>
            <w:tcW w:w="6493" w:type="dxa"/>
            <w:hideMark/>
          </w:tcPr>
          <w:p w14:paraId="24A831BA" w14:textId="77777777" w:rsidR="001871F9" w:rsidRPr="001871F9" w:rsidRDefault="001871F9" w:rsidP="001871F9">
            <w:pPr>
              <w:rPr>
                <w:rFonts w:ascii="Aptos" w:eastAsia="Times New Roman" w:hAnsi="Aptos" w:cs="Times New Roman"/>
                <w:sz w:val="22"/>
                <w:szCs w:val="22"/>
              </w:rPr>
            </w:pPr>
            <w:r w:rsidRPr="001871F9">
              <w:rPr>
                <w:rFonts w:ascii="Aptos" w:eastAsia="Times New Roman" w:hAnsi="Aptos" w:cs="Times New Roman"/>
                <w:sz w:val="22"/>
                <w:szCs w:val="22"/>
              </w:rPr>
              <w:t>50% Female, 50% Male</w:t>
            </w:r>
          </w:p>
        </w:tc>
      </w:tr>
      <w:tr w:rsidR="001871F9" w:rsidRPr="001871F9" w14:paraId="3B65DDEB" w14:textId="77777777" w:rsidTr="1901DA99">
        <w:tc>
          <w:tcPr>
            <w:tcW w:w="0" w:type="auto"/>
            <w:hideMark/>
          </w:tcPr>
          <w:p w14:paraId="049F7E17" w14:textId="77777777" w:rsidR="001871F9" w:rsidRPr="001871F9" w:rsidRDefault="001871F9" w:rsidP="001871F9">
            <w:pPr>
              <w:rPr>
                <w:rFonts w:ascii="Aptos" w:eastAsia="Times New Roman" w:hAnsi="Aptos" w:cs="Times New Roman"/>
                <w:sz w:val="22"/>
                <w:szCs w:val="22"/>
              </w:rPr>
            </w:pPr>
            <w:r w:rsidRPr="001871F9">
              <w:rPr>
                <w:rFonts w:ascii="Aptos" w:eastAsia="Times New Roman" w:hAnsi="Aptos" w:cs="Times New Roman"/>
                <w:sz w:val="22"/>
                <w:szCs w:val="22"/>
              </w:rPr>
              <w:t>Race/ethnicity (students)</w:t>
            </w:r>
          </w:p>
        </w:tc>
        <w:tc>
          <w:tcPr>
            <w:tcW w:w="6493" w:type="dxa"/>
            <w:hideMark/>
          </w:tcPr>
          <w:p w14:paraId="75B4FD49" w14:textId="77777777" w:rsidR="001871F9" w:rsidRPr="001871F9" w:rsidRDefault="001871F9" w:rsidP="001871F9">
            <w:pPr>
              <w:rPr>
                <w:rFonts w:ascii="Aptos" w:eastAsia="Times New Roman" w:hAnsi="Aptos" w:cs="Times New Roman"/>
                <w:sz w:val="22"/>
                <w:szCs w:val="22"/>
              </w:rPr>
            </w:pPr>
            <w:r w:rsidRPr="001871F9">
              <w:rPr>
                <w:rFonts w:ascii="Aptos" w:eastAsia="Times New Roman" w:hAnsi="Aptos" w:cs="Times New Roman"/>
                <w:sz w:val="22"/>
                <w:szCs w:val="22"/>
              </w:rPr>
              <w:t>49% White, 16% Hispanic, 16% Asian, 13% Black, 4% Multiracial</w:t>
            </w:r>
          </w:p>
        </w:tc>
      </w:tr>
    </w:tbl>
    <w:p w14:paraId="575D2421" w14:textId="62CF9DB1" w:rsidR="1901DA99" w:rsidRDefault="001871F9" w:rsidP="39A43F77">
      <w:pPr>
        <w:spacing w:before="100" w:beforeAutospacing="1" w:after="100" w:afterAutospacing="1"/>
        <w:jc w:val="both"/>
        <w:rPr>
          <w:rFonts w:ascii="Aptos" w:eastAsia="Times New Roman" w:hAnsi="Aptos" w:cs="Times New Roman"/>
        </w:rPr>
      </w:pPr>
      <w:r w:rsidRPr="1901DA99">
        <w:rPr>
          <w:rFonts w:ascii="Aptos" w:eastAsia="Times New Roman" w:hAnsi="Aptos" w:cs="Times New Roman"/>
          <w:b/>
          <w:bCs/>
        </w:rPr>
        <w:t>Design and Intervention</w:t>
      </w:r>
    </w:p>
    <w:p w14:paraId="57FB1DE0" w14:textId="77777777" w:rsidR="001871F9" w:rsidRPr="001871F9" w:rsidRDefault="001871F9" w:rsidP="39A43F77">
      <w:pPr>
        <w:spacing w:before="100" w:beforeAutospacing="1" w:after="100" w:afterAutospacing="1"/>
        <w:jc w:val="both"/>
        <w:rPr>
          <w:rFonts w:ascii="Aptos" w:eastAsia="Times New Roman" w:hAnsi="Aptos" w:cs="Times New Roman"/>
        </w:rPr>
      </w:pPr>
      <w:r w:rsidRPr="001871F9">
        <w:rPr>
          <w:rFonts w:ascii="Aptos" w:eastAsia="Times New Roman" w:hAnsi="Aptos" w:cs="Times New Roman"/>
        </w:rPr>
        <w:t xml:space="preserve">This was a design-based implementation study combining observational, survey, and student outcome data. Teachers were introduced to </w:t>
      </w:r>
      <w:r w:rsidRPr="001871F9">
        <w:rPr>
          <w:rFonts w:ascii="Aptos" w:eastAsia="Times New Roman" w:hAnsi="Aptos" w:cs="Times New Roman"/>
          <w:i/>
          <w:iCs/>
        </w:rPr>
        <w:t>Geodes</w:t>
      </w:r>
      <w:r w:rsidRPr="001871F9">
        <w:rPr>
          <w:rFonts w:ascii="Aptos" w:eastAsia="Times New Roman" w:hAnsi="Aptos" w:cs="Times New Roman"/>
        </w:rPr>
        <w:t xml:space="preserve"> through an initial workshop, followed by iterative cycles of support, including coaching, planning, and real-time adaptations.</w:t>
      </w:r>
    </w:p>
    <w:p w14:paraId="7A20B075" w14:textId="51E16C5D" w:rsidR="1901DA99" w:rsidRDefault="001871F9" w:rsidP="39A43F77">
      <w:pPr>
        <w:spacing w:before="100" w:beforeAutospacing="1" w:after="100" w:afterAutospacing="1"/>
        <w:jc w:val="both"/>
        <w:rPr>
          <w:rFonts w:ascii="Aptos" w:eastAsia="Times New Roman" w:hAnsi="Aptos" w:cs="Times New Roman"/>
        </w:rPr>
      </w:pPr>
      <w:r w:rsidRPr="1901DA99">
        <w:rPr>
          <w:rFonts w:ascii="Aptos" w:eastAsia="Times New Roman" w:hAnsi="Aptos" w:cs="Times New Roman"/>
        </w:rPr>
        <w:t>Implementation support included:</w:t>
      </w:r>
    </w:p>
    <w:p w14:paraId="7B2FEA99" w14:textId="77777777" w:rsidR="001871F9" w:rsidRPr="001871F9" w:rsidRDefault="001871F9" w:rsidP="39A43F77">
      <w:pPr>
        <w:numPr>
          <w:ilvl w:val="0"/>
          <w:numId w:val="4"/>
        </w:numPr>
        <w:spacing w:before="100" w:beforeAutospacing="1" w:after="100" w:afterAutospacing="1"/>
        <w:jc w:val="both"/>
        <w:rPr>
          <w:rFonts w:ascii="Aptos" w:eastAsia="Times New Roman" w:hAnsi="Aptos" w:cs="Times New Roman"/>
        </w:rPr>
      </w:pPr>
      <w:r w:rsidRPr="001871F9">
        <w:rPr>
          <w:rFonts w:ascii="Aptos" w:eastAsia="Times New Roman" w:hAnsi="Aptos" w:cs="Times New Roman"/>
        </w:rPr>
        <w:t>Weekly in-class coaching (avg. 7 visits/class)</w:t>
      </w:r>
    </w:p>
    <w:p w14:paraId="7847DB67" w14:textId="77777777" w:rsidR="001871F9" w:rsidRPr="001871F9" w:rsidRDefault="001871F9" w:rsidP="39A43F77">
      <w:pPr>
        <w:numPr>
          <w:ilvl w:val="0"/>
          <w:numId w:val="4"/>
        </w:numPr>
        <w:spacing w:before="100" w:beforeAutospacing="1" w:after="100" w:afterAutospacing="1"/>
        <w:jc w:val="both"/>
        <w:rPr>
          <w:rFonts w:ascii="Aptos" w:eastAsia="Times New Roman" w:hAnsi="Aptos" w:cs="Times New Roman"/>
        </w:rPr>
      </w:pPr>
      <w:r w:rsidRPr="001871F9">
        <w:rPr>
          <w:rFonts w:ascii="Aptos" w:eastAsia="Times New Roman" w:hAnsi="Aptos" w:cs="Times New Roman"/>
        </w:rPr>
        <w:t>Structured lesson routines for whole and small group use</w:t>
      </w:r>
    </w:p>
    <w:p w14:paraId="77B8E6F1" w14:textId="77777777" w:rsidR="001871F9" w:rsidRPr="001871F9" w:rsidRDefault="001871F9" w:rsidP="39A43F77">
      <w:pPr>
        <w:numPr>
          <w:ilvl w:val="0"/>
          <w:numId w:val="4"/>
        </w:numPr>
        <w:spacing w:before="100" w:beforeAutospacing="1" w:after="100" w:afterAutospacing="1"/>
        <w:jc w:val="both"/>
        <w:rPr>
          <w:rFonts w:ascii="Aptos" w:eastAsia="Times New Roman" w:hAnsi="Aptos" w:cs="Times New Roman"/>
        </w:rPr>
      </w:pPr>
      <w:r w:rsidRPr="1901DA99">
        <w:rPr>
          <w:rFonts w:ascii="Aptos" w:eastAsia="Times New Roman" w:hAnsi="Aptos" w:cs="Times New Roman"/>
        </w:rPr>
        <w:t xml:space="preserve">Alignment charts linking </w:t>
      </w:r>
      <w:proofErr w:type="spellStart"/>
      <w:r w:rsidRPr="1901DA99">
        <w:rPr>
          <w:rFonts w:ascii="Aptos" w:eastAsia="Times New Roman" w:hAnsi="Aptos" w:cs="Times New Roman"/>
        </w:rPr>
        <w:t>Fundations</w:t>
      </w:r>
      <w:proofErr w:type="spellEnd"/>
      <w:r w:rsidRPr="1901DA99">
        <w:rPr>
          <w:rFonts w:ascii="Aptos" w:eastAsia="Times New Roman" w:hAnsi="Aptos" w:cs="Times New Roman"/>
        </w:rPr>
        <w:t xml:space="preserve">, </w:t>
      </w:r>
      <w:r w:rsidRPr="1901DA99">
        <w:rPr>
          <w:rFonts w:ascii="Aptos" w:eastAsia="Times New Roman" w:hAnsi="Aptos" w:cs="Times New Roman"/>
          <w:i/>
          <w:iCs/>
        </w:rPr>
        <w:t>Geodes</w:t>
      </w:r>
      <w:r w:rsidRPr="1901DA99">
        <w:rPr>
          <w:rFonts w:ascii="Aptos" w:eastAsia="Times New Roman" w:hAnsi="Aptos" w:cs="Times New Roman"/>
        </w:rPr>
        <w:t>, and Wit &amp; Wisdom</w:t>
      </w:r>
    </w:p>
    <w:p w14:paraId="4AB4C269" w14:textId="6AFBDF8C" w:rsidR="1901DA99" w:rsidRPr="00C36C32" w:rsidRDefault="7FBAEEFC" w:rsidP="39A43F77">
      <w:pPr>
        <w:numPr>
          <w:ilvl w:val="0"/>
          <w:numId w:val="4"/>
        </w:numPr>
        <w:spacing w:beforeAutospacing="1" w:afterAutospacing="1"/>
        <w:jc w:val="both"/>
        <w:rPr>
          <w:rFonts w:ascii="Aptos" w:eastAsia="Times New Roman" w:hAnsi="Aptos" w:cs="Times New Roman"/>
        </w:rPr>
      </w:pPr>
      <w:r w:rsidRPr="1901DA99">
        <w:rPr>
          <w:rFonts w:ascii="Aptos" w:eastAsia="Times New Roman" w:hAnsi="Aptos" w:cs="Times New Roman"/>
        </w:rPr>
        <w:t>Progress monitoring</w:t>
      </w:r>
    </w:p>
    <w:p w14:paraId="5EC90535" w14:textId="77777777" w:rsidR="001871F9" w:rsidRPr="001871F9" w:rsidRDefault="001871F9" w:rsidP="39A43F77">
      <w:pPr>
        <w:spacing w:before="100" w:beforeAutospacing="1" w:after="100" w:afterAutospacing="1"/>
        <w:jc w:val="both"/>
        <w:rPr>
          <w:rFonts w:ascii="Aptos" w:eastAsia="Times New Roman" w:hAnsi="Aptos" w:cs="Times New Roman"/>
        </w:rPr>
      </w:pPr>
      <w:r w:rsidRPr="001871F9">
        <w:rPr>
          <w:rFonts w:ascii="Aptos" w:eastAsia="Times New Roman" w:hAnsi="Aptos" w:cs="Times New Roman"/>
        </w:rPr>
        <w:t>Student fluency was measured using curriculum-aligned passages, capturing Words Correct Per Minute (WCPM), retell quality, and lexical density.</w:t>
      </w:r>
    </w:p>
    <w:p w14:paraId="60D9B664" w14:textId="77777777" w:rsidR="001871F9" w:rsidRPr="001871F9" w:rsidRDefault="00266AB7" w:rsidP="39A43F77">
      <w:pPr>
        <w:spacing w:after="0"/>
        <w:jc w:val="both"/>
        <w:rPr>
          <w:rFonts w:ascii="Aptos" w:eastAsia="Times New Roman" w:hAnsi="Aptos" w:cs="Times New Roman"/>
        </w:rPr>
      </w:pPr>
      <w:r>
        <w:rPr>
          <w:rFonts w:ascii="Aptos" w:eastAsia="Times New Roman" w:hAnsi="Aptos" w:cs="Times New Roman"/>
          <w:noProof/>
        </w:rPr>
        <w:pict w14:anchorId="6895C458">
          <v:rect id="_x0000_i1027" alt="" style="width:468pt;height:.05pt;mso-width-percent:0;mso-height-percent:0;mso-width-percent:0;mso-height-percent:0" o:hralign="center" o:hrstd="t" o:hr="t" fillcolor="#a0a0a0" stroked="f"/>
        </w:pict>
      </w:r>
    </w:p>
    <w:p w14:paraId="37D062A6" w14:textId="4D602E8F" w:rsidR="001871F9" w:rsidRPr="00525211" w:rsidRDefault="001871F9" w:rsidP="39A43F77">
      <w:pPr>
        <w:spacing w:before="100" w:beforeAutospacing="1" w:after="100" w:afterAutospacing="1"/>
        <w:jc w:val="both"/>
        <w:rPr>
          <w:rFonts w:ascii="Aptos" w:eastAsia="Times New Roman" w:hAnsi="Aptos" w:cs="Times New Roman"/>
          <w:color w:val="A02B93" w:themeColor="accent5"/>
          <w:sz w:val="28"/>
          <w:szCs w:val="28"/>
        </w:rPr>
      </w:pPr>
      <w:r w:rsidRPr="11E528C9">
        <w:rPr>
          <w:rFonts w:ascii="Aptos" w:eastAsia="Times New Roman" w:hAnsi="Aptos" w:cs="Times New Roman"/>
          <w:b/>
          <w:bCs/>
          <w:color w:val="A02B93" w:themeColor="accent5"/>
          <w:sz w:val="28"/>
          <w:szCs w:val="28"/>
        </w:rPr>
        <w:t>Results</w:t>
      </w:r>
    </w:p>
    <w:p w14:paraId="29610358" w14:textId="114FC6A0" w:rsidR="4608A91C" w:rsidRDefault="4608A91C" w:rsidP="217F497A">
      <w:pPr>
        <w:spacing w:beforeAutospacing="1" w:afterAutospacing="1" w:line="259" w:lineRule="auto"/>
        <w:jc w:val="both"/>
        <w:rPr>
          <w:rFonts w:ascii="Aptos" w:eastAsia="Times New Roman" w:hAnsi="Aptos" w:cs="Times New Roman"/>
          <w:b/>
          <w:bCs/>
        </w:rPr>
      </w:pPr>
      <w:r w:rsidRPr="217F497A">
        <w:rPr>
          <w:rFonts w:ascii="Aptos" w:eastAsia="Times New Roman" w:hAnsi="Aptos" w:cs="Times New Roman"/>
          <w:b/>
          <w:bCs/>
        </w:rPr>
        <w:t>Student Outcomes by Geodes Usage Level</w:t>
      </w:r>
    </w:p>
    <w:p w14:paraId="02AB3F02" w14:textId="22489B96" w:rsidR="4608A91C" w:rsidRDefault="4608A91C" w:rsidP="11E528C9">
      <w:pPr>
        <w:spacing w:before="240" w:after="240"/>
        <w:jc w:val="both"/>
      </w:pPr>
      <w:r w:rsidRPr="217F497A">
        <w:rPr>
          <w:rFonts w:ascii="Aptos" w:eastAsia="Aptos" w:hAnsi="Aptos" w:cs="Aptos"/>
        </w:rPr>
        <w:t xml:space="preserve">Student reading fluency gains were positively associated with the level of Geodes use. A one-way analysis of covariance (ANCOVA) controlling for pretest scores revealed a significant effect of implementation level on posttest Words Correct Per Minute (WCPM) gains, </w:t>
      </w:r>
      <w:proofErr w:type="gramStart"/>
      <w:r w:rsidRPr="217F497A">
        <w:rPr>
          <w:rFonts w:ascii="Aptos" w:eastAsia="Aptos" w:hAnsi="Aptos" w:cs="Aptos"/>
          <w:i/>
          <w:iCs/>
        </w:rPr>
        <w:t>F</w:t>
      </w:r>
      <w:r w:rsidRPr="217F497A">
        <w:rPr>
          <w:rFonts w:ascii="Aptos" w:eastAsia="Aptos" w:hAnsi="Aptos" w:cs="Aptos"/>
        </w:rPr>
        <w:t>(</w:t>
      </w:r>
      <w:proofErr w:type="gramEnd"/>
      <w:r w:rsidRPr="217F497A">
        <w:rPr>
          <w:rFonts w:ascii="Aptos" w:eastAsia="Aptos" w:hAnsi="Aptos" w:cs="Aptos"/>
        </w:rPr>
        <w:t xml:space="preserve">2, </w:t>
      </w:r>
      <w:r w:rsidRPr="217F497A">
        <w:rPr>
          <w:rFonts w:ascii="Aptos" w:eastAsia="Aptos" w:hAnsi="Aptos" w:cs="Aptos"/>
          <w:i/>
          <w:iCs/>
        </w:rPr>
        <w:t>N</w:t>
      </w:r>
      <w:r w:rsidRPr="217F497A">
        <w:rPr>
          <w:rFonts w:ascii="Aptos" w:eastAsia="Aptos" w:hAnsi="Aptos" w:cs="Aptos"/>
        </w:rPr>
        <w:t xml:space="preserve">) = 4.33, </w:t>
      </w:r>
      <w:r w:rsidRPr="217F497A">
        <w:rPr>
          <w:rFonts w:ascii="Aptos" w:eastAsia="Aptos" w:hAnsi="Aptos" w:cs="Aptos"/>
          <w:i/>
          <w:iCs/>
        </w:rPr>
        <w:t>p</w:t>
      </w:r>
      <w:r w:rsidRPr="217F497A">
        <w:rPr>
          <w:rFonts w:ascii="Aptos" w:eastAsia="Aptos" w:hAnsi="Aptos" w:cs="Aptos"/>
        </w:rPr>
        <w:t xml:space="preserve"> &lt; .013, η² = 0.068, indicating that approximately 7% of the variance in student gains was explained by differences in Geodes use. Post-hoc comparisons (Tukey’s HSD) showed that:</w:t>
      </w:r>
    </w:p>
    <w:p w14:paraId="31375477" w14:textId="3600D3D1" w:rsidR="4608A91C" w:rsidRDefault="4608A91C" w:rsidP="11E528C9">
      <w:pPr>
        <w:pStyle w:val="ListParagraph"/>
        <w:numPr>
          <w:ilvl w:val="0"/>
          <w:numId w:val="1"/>
        </w:numPr>
        <w:spacing w:before="240" w:after="240"/>
        <w:jc w:val="both"/>
        <w:rPr>
          <w:rFonts w:ascii="Aptos" w:eastAsia="Aptos" w:hAnsi="Aptos" w:cs="Aptos"/>
        </w:rPr>
      </w:pPr>
      <w:r w:rsidRPr="217F497A">
        <w:rPr>
          <w:rFonts w:ascii="Aptos" w:eastAsia="Aptos" w:hAnsi="Aptos" w:cs="Aptos"/>
        </w:rPr>
        <w:lastRenderedPageBreak/>
        <w:t xml:space="preserve">Students in classrooms with consistent Geodes use (Level 1) made significantly larger gains than those in classrooms with </w:t>
      </w:r>
      <w:r w:rsidRPr="217F497A">
        <w:rPr>
          <w:rFonts w:ascii="Aptos" w:eastAsia="Aptos" w:hAnsi="Aptos" w:cs="Aptos"/>
          <w:b/>
          <w:bCs/>
        </w:rPr>
        <w:t>limited use (Level 2)</w:t>
      </w:r>
      <w:r w:rsidRPr="217F497A">
        <w:rPr>
          <w:rFonts w:ascii="Aptos" w:eastAsia="Aptos" w:hAnsi="Aptos" w:cs="Aptos"/>
        </w:rPr>
        <w:t xml:space="preserve"> or </w:t>
      </w:r>
      <w:r w:rsidRPr="217F497A">
        <w:rPr>
          <w:rFonts w:ascii="Aptos" w:eastAsia="Aptos" w:hAnsi="Aptos" w:cs="Aptos"/>
          <w:b/>
          <w:bCs/>
        </w:rPr>
        <w:t>minimal/no use (Level 3)</w:t>
      </w:r>
      <w:r w:rsidRPr="217F497A">
        <w:rPr>
          <w:rFonts w:ascii="Aptos" w:eastAsia="Aptos" w:hAnsi="Aptos" w:cs="Aptos"/>
        </w:rPr>
        <w:t>.</w:t>
      </w:r>
    </w:p>
    <w:p w14:paraId="7927C5BB" w14:textId="47E82221" w:rsidR="4608A91C" w:rsidRDefault="4608A91C" w:rsidP="11E528C9">
      <w:pPr>
        <w:pStyle w:val="ListParagraph"/>
        <w:numPr>
          <w:ilvl w:val="0"/>
          <w:numId w:val="1"/>
        </w:numPr>
        <w:spacing w:before="240" w:after="240"/>
        <w:jc w:val="both"/>
        <w:rPr>
          <w:rFonts w:ascii="Aptos" w:eastAsia="Aptos" w:hAnsi="Aptos" w:cs="Aptos"/>
        </w:rPr>
      </w:pPr>
      <w:r w:rsidRPr="11E528C9">
        <w:rPr>
          <w:rFonts w:ascii="Aptos" w:eastAsia="Aptos" w:hAnsi="Aptos" w:cs="Aptos"/>
        </w:rPr>
        <w:t xml:space="preserve">Students in classrooms with </w:t>
      </w:r>
      <w:r w:rsidRPr="11E528C9">
        <w:rPr>
          <w:rFonts w:ascii="Aptos" w:eastAsia="Aptos" w:hAnsi="Aptos" w:cs="Aptos"/>
          <w:b/>
          <w:bCs/>
        </w:rPr>
        <w:t>limited use (Level 2)</w:t>
      </w:r>
      <w:r w:rsidRPr="11E528C9">
        <w:rPr>
          <w:rFonts w:ascii="Aptos" w:eastAsia="Aptos" w:hAnsi="Aptos" w:cs="Aptos"/>
        </w:rPr>
        <w:t xml:space="preserve"> also outperformed those in </w:t>
      </w:r>
      <w:r w:rsidRPr="11E528C9">
        <w:rPr>
          <w:rFonts w:ascii="Aptos" w:eastAsia="Aptos" w:hAnsi="Aptos" w:cs="Aptos"/>
          <w:b/>
          <w:bCs/>
        </w:rPr>
        <w:t>minimal/no use (Level 3)</w:t>
      </w:r>
      <w:r w:rsidRPr="11E528C9">
        <w:rPr>
          <w:rFonts w:ascii="Aptos" w:eastAsia="Aptos" w:hAnsi="Aptos" w:cs="Aptos"/>
        </w:rPr>
        <w:t xml:space="preserve"> settings.</w:t>
      </w:r>
    </w:p>
    <w:p w14:paraId="1BD7B7C5" w14:textId="332EC2C6" w:rsidR="11E528C9" w:rsidRDefault="4608A91C" w:rsidP="217F497A">
      <w:pPr>
        <w:spacing w:before="240" w:after="240"/>
        <w:jc w:val="both"/>
      </w:pPr>
      <w:r w:rsidRPr="217F497A">
        <w:rPr>
          <w:rFonts w:ascii="Aptos" w:eastAsia="Aptos" w:hAnsi="Aptos" w:cs="Aptos"/>
        </w:rPr>
        <w:t>Across all classrooms, students made measurable gains from fall to spring, but the size of those gains differed meaningfully by implementation level, with the strongest outcomes in classrooms that fully integrated Geodes into Tier 1 instruction.</w:t>
      </w:r>
    </w:p>
    <w:p w14:paraId="11E8D583" w14:textId="39E953B3" w:rsidR="4608A91C" w:rsidRDefault="4608A91C" w:rsidP="11E528C9">
      <w:pPr>
        <w:pStyle w:val="Heading3"/>
        <w:spacing w:before="281" w:after="281"/>
        <w:jc w:val="both"/>
      </w:pPr>
      <w:r w:rsidRPr="11E528C9">
        <w:rPr>
          <w:rFonts w:ascii="Aptos" w:eastAsia="Aptos" w:hAnsi="Aptos" w:cs="Aptos"/>
          <w:b/>
          <w:bCs/>
        </w:rPr>
        <w:t>Table 2. Typology of Geodes Use Across Classrooms</w:t>
      </w:r>
    </w:p>
    <w:tbl>
      <w:tblPr>
        <w:tblW w:w="1008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1050"/>
        <w:gridCol w:w="4046"/>
        <w:gridCol w:w="1710"/>
        <w:gridCol w:w="2325"/>
        <w:gridCol w:w="949"/>
      </w:tblGrid>
      <w:tr w:rsidR="11E528C9" w14:paraId="15CD3F88" w14:textId="77777777" w:rsidTr="217F497A">
        <w:trPr>
          <w:trHeight w:val="300"/>
        </w:trPr>
        <w:tc>
          <w:tcPr>
            <w:tcW w:w="1050" w:type="dxa"/>
            <w:vAlign w:val="center"/>
          </w:tcPr>
          <w:p w14:paraId="3D0B2372" w14:textId="4FB50D37" w:rsidR="11E528C9" w:rsidRDefault="1D03EAF9" w:rsidP="217F497A">
            <w:pPr>
              <w:spacing w:after="0"/>
              <w:jc w:val="center"/>
              <w:rPr>
                <w:b/>
                <w:bCs/>
                <w:sz w:val="20"/>
                <w:szCs w:val="20"/>
              </w:rPr>
            </w:pPr>
            <w:r w:rsidRPr="217F497A">
              <w:rPr>
                <w:b/>
                <w:bCs/>
                <w:sz w:val="22"/>
                <w:szCs w:val="22"/>
              </w:rPr>
              <w:t>Level</w:t>
            </w:r>
          </w:p>
        </w:tc>
        <w:tc>
          <w:tcPr>
            <w:tcW w:w="4046" w:type="dxa"/>
            <w:vAlign w:val="center"/>
          </w:tcPr>
          <w:p w14:paraId="0BA61370" w14:textId="120980A5" w:rsidR="11E528C9" w:rsidRDefault="1D03EAF9" w:rsidP="217F497A">
            <w:pPr>
              <w:spacing w:after="0"/>
              <w:jc w:val="center"/>
              <w:rPr>
                <w:b/>
                <w:bCs/>
                <w:sz w:val="20"/>
                <w:szCs w:val="20"/>
              </w:rPr>
            </w:pPr>
            <w:r w:rsidRPr="217F497A">
              <w:rPr>
                <w:b/>
                <w:bCs/>
                <w:sz w:val="22"/>
                <w:szCs w:val="22"/>
              </w:rPr>
              <w:t>Description of Use</w:t>
            </w:r>
          </w:p>
        </w:tc>
        <w:tc>
          <w:tcPr>
            <w:tcW w:w="1710" w:type="dxa"/>
            <w:vAlign w:val="center"/>
          </w:tcPr>
          <w:p w14:paraId="3E28ADD4" w14:textId="01E7C459" w:rsidR="11E528C9" w:rsidRDefault="1D03EAF9" w:rsidP="217F497A">
            <w:pPr>
              <w:spacing w:after="0"/>
              <w:jc w:val="center"/>
              <w:rPr>
                <w:b/>
                <w:bCs/>
                <w:sz w:val="20"/>
                <w:szCs w:val="20"/>
              </w:rPr>
            </w:pPr>
            <w:r w:rsidRPr="217F497A">
              <w:rPr>
                <w:b/>
                <w:bCs/>
                <w:sz w:val="22"/>
                <w:szCs w:val="22"/>
              </w:rPr>
              <w:t>Frequency &amp; Duration</w:t>
            </w:r>
          </w:p>
        </w:tc>
        <w:tc>
          <w:tcPr>
            <w:tcW w:w="2325" w:type="dxa"/>
            <w:vAlign w:val="center"/>
          </w:tcPr>
          <w:p w14:paraId="40E4E4C3" w14:textId="7D703C0A" w:rsidR="11E528C9" w:rsidRDefault="1D03EAF9" w:rsidP="217F497A">
            <w:pPr>
              <w:spacing w:after="0"/>
              <w:jc w:val="center"/>
              <w:rPr>
                <w:b/>
                <w:bCs/>
                <w:sz w:val="20"/>
                <w:szCs w:val="20"/>
              </w:rPr>
            </w:pPr>
            <w:r w:rsidRPr="217F497A">
              <w:rPr>
                <w:b/>
                <w:bCs/>
                <w:sz w:val="22"/>
                <w:szCs w:val="22"/>
              </w:rPr>
              <w:t>Instructional Context</w:t>
            </w:r>
          </w:p>
        </w:tc>
        <w:tc>
          <w:tcPr>
            <w:tcW w:w="949" w:type="dxa"/>
            <w:vAlign w:val="center"/>
          </w:tcPr>
          <w:p w14:paraId="0BCE5A6C" w14:textId="6A1C2D4E" w:rsidR="11E528C9" w:rsidRDefault="1D03EAF9" w:rsidP="217F497A">
            <w:pPr>
              <w:spacing w:after="0"/>
              <w:jc w:val="center"/>
              <w:rPr>
                <w:b/>
                <w:bCs/>
                <w:sz w:val="20"/>
                <w:szCs w:val="20"/>
              </w:rPr>
            </w:pPr>
            <w:r w:rsidRPr="217F497A">
              <w:rPr>
                <w:b/>
                <w:bCs/>
                <w:sz w:val="22"/>
                <w:szCs w:val="22"/>
              </w:rPr>
              <w:t>No. of Classrooms</w:t>
            </w:r>
          </w:p>
        </w:tc>
      </w:tr>
      <w:tr w:rsidR="11E528C9" w14:paraId="2F43298F" w14:textId="77777777" w:rsidTr="217F497A">
        <w:trPr>
          <w:trHeight w:val="300"/>
        </w:trPr>
        <w:tc>
          <w:tcPr>
            <w:tcW w:w="1050" w:type="dxa"/>
            <w:vAlign w:val="center"/>
          </w:tcPr>
          <w:p w14:paraId="05CD7A62" w14:textId="41953708" w:rsidR="11E528C9" w:rsidRDefault="1D03EAF9" w:rsidP="217F497A">
            <w:pPr>
              <w:spacing w:after="0"/>
              <w:rPr>
                <w:b/>
                <w:bCs/>
                <w:sz w:val="20"/>
                <w:szCs w:val="20"/>
              </w:rPr>
            </w:pPr>
            <w:r w:rsidRPr="217F497A">
              <w:rPr>
                <w:b/>
                <w:bCs/>
                <w:sz w:val="22"/>
                <w:szCs w:val="22"/>
              </w:rPr>
              <w:t>Level 1: Consistent Use</w:t>
            </w:r>
          </w:p>
        </w:tc>
        <w:tc>
          <w:tcPr>
            <w:tcW w:w="4046" w:type="dxa"/>
            <w:vAlign w:val="center"/>
          </w:tcPr>
          <w:p w14:paraId="4609CAE4" w14:textId="3E1FBEC3" w:rsidR="11E528C9" w:rsidRDefault="1D03EAF9" w:rsidP="217F497A">
            <w:pPr>
              <w:spacing w:after="0"/>
              <w:rPr>
                <w:sz w:val="20"/>
                <w:szCs w:val="20"/>
              </w:rPr>
            </w:pPr>
            <w:r w:rsidRPr="217F497A">
              <w:rPr>
                <w:sz w:val="22"/>
                <w:szCs w:val="22"/>
              </w:rPr>
              <w:t>Geodes used regularly across whole-class, small-group, and independent settings with strong alignment to core materials.</w:t>
            </w:r>
          </w:p>
        </w:tc>
        <w:tc>
          <w:tcPr>
            <w:tcW w:w="1710" w:type="dxa"/>
            <w:vAlign w:val="center"/>
          </w:tcPr>
          <w:p w14:paraId="6D8B9219" w14:textId="5917A81C" w:rsidR="11E528C9" w:rsidRDefault="1D03EAF9" w:rsidP="217F497A">
            <w:pPr>
              <w:spacing w:after="0"/>
              <w:rPr>
                <w:sz w:val="20"/>
                <w:szCs w:val="20"/>
              </w:rPr>
            </w:pPr>
            <w:r w:rsidRPr="217F497A">
              <w:rPr>
                <w:sz w:val="22"/>
                <w:szCs w:val="22"/>
              </w:rPr>
              <w:t>3–4x/week; 20–45+ mins total weekly</w:t>
            </w:r>
          </w:p>
        </w:tc>
        <w:tc>
          <w:tcPr>
            <w:tcW w:w="2325" w:type="dxa"/>
            <w:vAlign w:val="center"/>
          </w:tcPr>
          <w:p w14:paraId="498FB8FE" w14:textId="3DD2598C" w:rsidR="11E528C9" w:rsidRDefault="1D03EAF9" w:rsidP="217F497A">
            <w:pPr>
              <w:spacing w:after="0"/>
              <w:rPr>
                <w:sz w:val="20"/>
                <w:szCs w:val="20"/>
              </w:rPr>
            </w:pPr>
            <w:r w:rsidRPr="217F497A">
              <w:rPr>
                <w:sz w:val="22"/>
                <w:szCs w:val="22"/>
              </w:rPr>
              <w:t>Whole group intro, frequent small groups, some independent practice</w:t>
            </w:r>
          </w:p>
        </w:tc>
        <w:tc>
          <w:tcPr>
            <w:tcW w:w="949" w:type="dxa"/>
            <w:vAlign w:val="center"/>
          </w:tcPr>
          <w:p w14:paraId="672AF036" w14:textId="76EF6170" w:rsidR="11E528C9" w:rsidRDefault="1D03EAF9" w:rsidP="217F497A">
            <w:pPr>
              <w:spacing w:after="0"/>
              <w:rPr>
                <w:sz w:val="20"/>
                <w:szCs w:val="20"/>
              </w:rPr>
            </w:pPr>
            <w:r w:rsidRPr="217F497A">
              <w:rPr>
                <w:sz w:val="22"/>
                <w:szCs w:val="22"/>
              </w:rPr>
              <w:t>16</w:t>
            </w:r>
          </w:p>
        </w:tc>
      </w:tr>
      <w:tr w:rsidR="11E528C9" w14:paraId="3DC1300F" w14:textId="77777777" w:rsidTr="217F497A">
        <w:trPr>
          <w:trHeight w:val="300"/>
        </w:trPr>
        <w:tc>
          <w:tcPr>
            <w:tcW w:w="1050" w:type="dxa"/>
            <w:vAlign w:val="center"/>
          </w:tcPr>
          <w:p w14:paraId="5658EBD3" w14:textId="172813F8" w:rsidR="11E528C9" w:rsidRDefault="1D03EAF9" w:rsidP="217F497A">
            <w:pPr>
              <w:spacing w:after="0"/>
              <w:rPr>
                <w:b/>
                <w:bCs/>
                <w:sz w:val="20"/>
                <w:szCs w:val="20"/>
              </w:rPr>
            </w:pPr>
            <w:r w:rsidRPr="217F497A">
              <w:rPr>
                <w:b/>
                <w:bCs/>
                <w:sz w:val="22"/>
                <w:szCs w:val="22"/>
              </w:rPr>
              <w:t>Level 2: Limited Use</w:t>
            </w:r>
          </w:p>
        </w:tc>
        <w:tc>
          <w:tcPr>
            <w:tcW w:w="4046" w:type="dxa"/>
            <w:vAlign w:val="center"/>
          </w:tcPr>
          <w:p w14:paraId="01D7A589" w14:textId="24D64E4B" w:rsidR="11E528C9" w:rsidRDefault="1D03EAF9" w:rsidP="217F497A">
            <w:pPr>
              <w:spacing w:after="0"/>
              <w:rPr>
                <w:sz w:val="20"/>
                <w:szCs w:val="20"/>
              </w:rPr>
            </w:pPr>
            <w:r w:rsidRPr="217F497A">
              <w:rPr>
                <w:sz w:val="22"/>
                <w:szCs w:val="22"/>
              </w:rPr>
              <w:t>Geodes used regularly in small groups 2–3x/week, often for targeted skills or fluency; limited whole-group integration.</w:t>
            </w:r>
          </w:p>
        </w:tc>
        <w:tc>
          <w:tcPr>
            <w:tcW w:w="1710" w:type="dxa"/>
            <w:vAlign w:val="center"/>
          </w:tcPr>
          <w:p w14:paraId="234685A2" w14:textId="7F4B1F6B" w:rsidR="11E528C9" w:rsidRDefault="1D03EAF9" w:rsidP="217F497A">
            <w:pPr>
              <w:spacing w:after="0"/>
              <w:rPr>
                <w:sz w:val="20"/>
                <w:szCs w:val="20"/>
              </w:rPr>
            </w:pPr>
            <w:r w:rsidRPr="217F497A">
              <w:rPr>
                <w:sz w:val="22"/>
                <w:szCs w:val="22"/>
              </w:rPr>
              <w:t>2–3x/week; 15–30 mins total weekly</w:t>
            </w:r>
          </w:p>
        </w:tc>
        <w:tc>
          <w:tcPr>
            <w:tcW w:w="2325" w:type="dxa"/>
            <w:vAlign w:val="center"/>
          </w:tcPr>
          <w:p w14:paraId="765CE6CF" w14:textId="3709D46D" w:rsidR="11E528C9" w:rsidRDefault="1D03EAF9" w:rsidP="217F497A">
            <w:pPr>
              <w:spacing w:after="0"/>
              <w:rPr>
                <w:sz w:val="20"/>
                <w:szCs w:val="20"/>
              </w:rPr>
            </w:pPr>
            <w:r w:rsidRPr="217F497A">
              <w:rPr>
                <w:sz w:val="22"/>
                <w:szCs w:val="22"/>
              </w:rPr>
              <w:t>Primarily small group, occasional whole group</w:t>
            </w:r>
          </w:p>
        </w:tc>
        <w:tc>
          <w:tcPr>
            <w:tcW w:w="949" w:type="dxa"/>
            <w:vAlign w:val="center"/>
          </w:tcPr>
          <w:p w14:paraId="06BC6806" w14:textId="0CC9A852" w:rsidR="11E528C9" w:rsidRDefault="1D03EAF9" w:rsidP="217F497A">
            <w:pPr>
              <w:spacing w:after="0"/>
              <w:rPr>
                <w:sz w:val="20"/>
                <w:szCs w:val="20"/>
              </w:rPr>
            </w:pPr>
            <w:r w:rsidRPr="217F497A">
              <w:rPr>
                <w:sz w:val="22"/>
                <w:szCs w:val="22"/>
              </w:rPr>
              <w:t>13</w:t>
            </w:r>
          </w:p>
        </w:tc>
      </w:tr>
      <w:tr w:rsidR="11E528C9" w14:paraId="620C36E1" w14:textId="77777777" w:rsidTr="217F497A">
        <w:trPr>
          <w:trHeight w:val="300"/>
        </w:trPr>
        <w:tc>
          <w:tcPr>
            <w:tcW w:w="1050" w:type="dxa"/>
            <w:vAlign w:val="center"/>
          </w:tcPr>
          <w:p w14:paraId="4B581E61" w14:textId="7D1D8AF0" w:rsidR="11E528C9" w:rsidRDefault="1D03EAF9" w:rsidP="217F497A">
            <w:pPr>
              <w:spacing w:after="0"/>
              <w:rPr>
                <w:b/>
                <w:bCs/>
                <w:sz w:val="20"/>
                <w:szCs w:val="20"/>
              </w:rPr>
            </w:pPr>
            <w:r w:rsidRPr="217F497A">
              <w:rPr>
                <w:b/>
                <w:bCs/>
                <w:sz w:val="22"/>
                <w:szCs w:val="22"/>
              </w:rPr>
              <w:t>Level 3: Minimal/No Use</w:t>
            </w:r>
          </w:p>
        </w:tc>
        <w:tc>
          <w:tcPr>
            <w:tcW w:w="4046" w:type="dxa"/>
            <w:vAlign w:val="center"/>
          </w:tcPr>
          <w:p w14:paraId="62FB25CB" w14:textId="3F51F7D5" w:rsidR="11E528C9" w:rsidRDefault="1D03EAF9" w:rsidP="217F497A">
            <w:pPr>
              <w:spacing w:after="0"/>
              <w:rPr>
                <w:sz w:val="20"/>
                <w:szCs w:val="20"/>
              </w:rPr>
            </w:pPr>
            <w:r w:rsidRPr="217F497A">
              <w:rPr>
                <w:sz w:val="22"/>
                <w:szCs w:val="22"/>
              </w:rPr>
              <w:t>Geodes rarely or never used for instruction; may be available informally in classroom libraries. Barriers include time, perceived difficulty, or misalignment.</w:t>
            </w:r>
          </w:p>
        </w:tc>
        <w:tc>
          <w:tcPr>
            <w:tcW w:w="1710" w:type="dxa"/>
            <w:vAlign w:val="center"/>
          </w:tcPr>
          <w:p w14:paraId="6E14929C" w14:textId="76B6A873" w:rsidR="11E528C9" w:rsidRDefault="1D03EAF9" w:rsidP="217F497A">
            <w:pPr>
              <w:spacing w:after="0"/>
              <w:rPr>
                <w:sz w:val="20"/>
                <w:szCs w:val="20"/>
              </w:rPr>
            </w:pPr>
            <w:r w:rsidRPr="217F497A">
              <w:rPr>
                <w:sz w:val="22"/>
                <w:szCs w:val="22"/>
              </w:rPr>
              <w:t>Rare or none</w:t>
            </w:r>
          </w:p>
        </w:tc>
        <w:tc>
          <w:tcPr>
            <w:tcW w:w="2325" w:type="dxa"/>
            <w:vAlign w:val="center"/>
          </w:tcPr>
          <w:p w14:paraId="0257E082" w14:textId="54349FDD" w:rsidR="11E528C9" w:rsidRDefault="1D03EAF9" w:rsidP="217F497A">
            <w:pPr>
              <w:spacing w:after="0"/>
              <w:rPr>
                <w:sz w:val="20"/>
                <w:szCs w:val="20"/>
              </w:rPr>
            </w:pPr>
            <w:r w:rsidRPr="217F497A">
              <w:rPr>
                <w:sz w:val="22"/>
                <w:szCs w:val="22"/>
              </w:rPr>
              <w:t>None or unstructured access only</w:t>
            </w:r>
          </w:p>
        </w:tc>
        <w:tc>
          <w:tcPr>
            <w:tcW w:w="949" w:type="dxa"/>
            <w:vAlign w:val="center"/>
          </w:tcPr>
          <w:p w14:paraId="3AA1C76D" w14:textId="44740E81" w:rsidR="11E528C9" w:rsidRDefault="1D03EAF9" w:rsidP="217F497A">
            <w:pPr>
              <w:spacing w:after="0"/>
              <w:rPr>
                <w:sz w:val="20"/>
                <w:szCs w:val="20"/>
              </w:rPr>
            </w:pPr>
            <w:r w:rsidRPr="217F497A">
              <w:rPr>
                <w:sz w:val="22"/>
                <w:szCs w:val="22"/>
              </w:rPr>
              <w:t>6</w:t>
            </w:r>
          </w:p>
        </w:tc>
      </w:tr>
    </w:tbl>
    <w:p w14:paraId="7BE8AA92" w14:textId="641E66BD" w:rsidR="11E528C9" w:rsidRDefault="11E528C9" w:rsidP="11E528C9">
      <w:pPr>
        <w:spacing w:beforeAutospacing="1" w:afterAutospacing="1"/>
        <w:jc w:val="both"/>
        <w:rPr>
          <w:rFonts w:ascii="Aptos" w:eastAsia="Times New Roman" w:hAnsi="Aptos" w:cs="Times New Roman"/>
        </w:rPr>
      </w:pPr>
    </w:p>
    <w:p w14:paraId="5E0CC47F" w14:textId="19F443E9" w:rsidR="1901DA99" w:rsidRPr="00AC50D8" w:rsidRDefault="1901DA99" w:rsidP="39A43F77">
      <w:pPr>
        <w:spacing w:beforeAutospacing="1" w:afterAutospacing="1"/>
        <w:rPr>
          <w:rFonts w:ascii="Aptos" w:eastAsia="Times New Roman" w:hAnsi="Aptos" w:cs="Times New Roman"/>
        </w:rPr>
      </w:pPr>
    </w:p>
    <w:p w14:paraId="0820E78C" w14:textId="6DACF69C" w:rsidR="20049700" w:rsidRDefault="20049700" w:rsidP="217F497A">
      <w:pPr>
        <w:spacing w:beforeAutospacing="1" w:afterAutospacing="1"/>
        <w:rPr>
          <w:rFonts w:ascii="Aptos" w:eastAsia="Times New Roman" w:hAnsi="Aptos" w:cs="Times New Roman"/>
        </w:rPr>
      </w:pPr>
      <w:r w:rsidRPr="217F497A">
        <w:rPr>
          <w:rFonts w:ascii="Aptos" w:eastAsia="Times New Roman" w:hAnsi="Aptos" w:cs="Times New Roman"/>
          <w:b/>
          <w:bCs/>
        </w:rPr>
        <w:t xml:space="preserve">Figure 1. Adjusted Post </w:t>
      </w:r>
      <w:r w:rsidR="205823DA" w:rsidRPr="217F497A">
        <w:rPr>
          <w:rFonts w:ascii="Aptos" w:eastAsia="Times New Roman" w:hAnsi="Aptos" w:cs="Times New Roman"/>
          <w:b/>
          <w:bCs/>
        </w:rPr>
        <w:t>W</w:t>
      </w:r>
      <w:r w:rsidRPr="217F497A">
        <w:rPr>
          <w:rFonts w:ascii="Aptos" w:eastAsia="Times New Roman" w:hAnsi="Aptos" w:cs="Times New Roman"/>
          <w:b/>
          <w:bCs/>
        </w:rPr>
        <w:t xml:space="preserve">CPM by Geodes Usage Level </w:t>
      </w:r>
    </w:p>
    <w:p w14:paraId="34DEEC67" w14:textId="7C1224D5" w:rsidR="39A43F77" w:rsidRDefault="39A43F77" w:rsidP="39A43F77">
      <w:pPr>
        <w:spacing w:beforeAutospacing="1" w:afterAutospacing="1"/>
        <w:rPr>
          <w:rFonts w:ascii="Aptos" w:eastAsia="Times New Roman" w:hAnsi="Aptos" w:cs="Times New Roman"/>
        </w:rPr>
      </w:pPr>
    </w:p>
    <w:p w14:paraId="19B3EE77" w14:textId="6DDB78B1" w:rsidR="004833EC" w:rsidRPr="00C36C32" w:rsidRDefault="2D04ACE0" w:rsidP="39A43F77">
      <w:pPr>
        <w:spacing w:before="100" w:beforeAutospacing="1" w:after="100" w:afterAutospacing="1"/>
        <w:jc w:val="center"/>
      </w:pPr>
      <w:r>
        <w:rPr>
          <w:noProof/>
        </w:rPr>
        <w:lastRenderedPageBreak/>
        <w:drawing>
          <wp:inline distT="0" distB="0" distL="0" distR="0" wp14:anchorId="0AB218FD" wp14:editId="26D00FE2">
            <wp:extent cx="4409690" cy="3733800"/>
            <wp:effectExtent l="0" t="0" r="0" b="0"/>
            <wp:docPr id="125525578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255781" name=""/>
                    <pic:cNvPicPr/>
                  </pic:nvPicPr>
                  <pic:blipFill>
                    <a:blip r:embed="rId6">
                      <a:extLst>
                        <a:ext uri="{28A0092B-C50C-407E-A947-70E740481C1C}">
                          <a14:useLocalDpi xmlns:a14="http://schemas.microsoft.com/office/drawing/2010/main"/>
                        </a:ext>
                      </a:extLst>
                    </a:blip>
                    <a:stretch>
                      <a:fillRect/>
                    </a:stretch>
                  </pic:blipFill>
                  <pic:spPr>
                    <a:xfrm>
                      <a:off x="0" y="0"/>
                      <a:ext cx="4409690" cy="3733800"/>
                    </a:xfrm>
                    <a:prstGeom prst="rect">
                      <a:avLst/>
                    </a:prstGeom>
                  </pic:spPr>
                </pic:pic>
              </a:graphicData>
            </a:graphic>
          </wp:inline>
        </w:drawing>
      </w:r>
    </w:p>
    <w:p w14:paraId="4E54FCF3" w14:textId="03719BA4" w:rsidR="1A2FB9D0" w:rsidRDefault="1A2FB9D0" w:rsidP="1A2FB9D0">
      <w:pPr>
        <w:spacing w:beforeAutospacing="1" w:afterAutospacing="1"/>
        <w:rPr>
          <w:rFonts w:ascii="Aptos" w:eastAsia="Times New Roman" w:hAnsi="Aptos" w:cs="Times New Roman"/>
          <w:b/>
          <w:bCs/>
        </w:rPr>
      </w:pPr>
    </w:p>
    <w:p w14:paraId="0B0EE946" w14:textId="05453407" w:rsidR="1901DA99" w:rsidRPr="00C36C32" w:rsidRDefault="001871F9" w:rsidP="39A43F77">
      <w:pPr>
        <w:spacing w:before="100" w:beforeAutospacing="1" w:after="100" w:afterAutospacing="1"/>
        <w:jc w:val="both"/>
        <w:rPr>
          <w:rFonts w:ascii="Aptos" w:eastAsia="Times New Roman" w:hAnsi="Aptos" w:cs="Times New Roman"/>
        </w:rPr>
      </w:pPr>
      <w:r w:rsidRPr="1901DA99">
        <w:rPr>
          <w:rFonts w:ascii="Aptos" w:eastAsia="Times New Roman" w:hAnsi="Aptos" w:cs="Times New Roman"/>
          <w:b/>
          <w:bCs/>
        </w:rPr>
        <w:t>Implementation Supports and Teacher Uptake</w:t>
      </w:r>
    </w:p>
    <w:p w14:paraId="5F19C72C" w14:textId="4AE9A957" w:rsidR="1901DA99" w:rsidRDefault="001871F9" w:rsidP="217F497A">
      <w:pPr>
        <w:spacing w:before="100" w:beforeAutospacing="1" w:after="100" w:afterAutospacing="1"/>
        <w:jc w:val="both"/>
        <w:rPr>
          <w:rFonts w:ascii="Aptos" w:eastAsia="Times New Roman" w:hAnsi="Aptos" w:cs="Times New Roman"/>
        </w:rPr>
      </w:pPr>
      <w:r w:rsidRPr="217F497A">
        <w:rPr>
          <w:rFonts w:ascii="Aptos" w:eastAsia="Times New Roman" w:hAnsi="Aptos" w:cs="Times New Roman"/>
        </w:rPr>
        <w:t xml:space="preserve">Survey, interview, and observational data revealed that the following supports were most strongly associated with consistent </w:t>
      </w:r>
      <w:r w:rsidRPr="217F497A">
        <w:rPr>
          <w:rFonts w:ascii="Aptos" w:eastAsia="Times New Roman" w:hAnsi="Aptos" w:cs="Times New Roman"/>
          <w:i/>
          <w:iCs/>
        </w:rPr>
        <w:t>Geodes</w:t>
      </w:r>
      <w:r w:rsidRPr="217F497A">
        <w:rPr>
          <w:rFonts w:ascii="Aptos" w:eastAsia="Times New Roman" w:hAnsi="Aptos" w:cs="Times New Roman"/>
        </w:rPr>
        <w:t xml:space="preserve"> use:</w:t>
      </w:r>
    </w:p>
    <w:p w14:paraId="4CF20C6E" w14:textId="1B8EB8E0" w:rsidR="7E5E4D53" w:rsidRDefault="7E5E4D53" w:rsidP="217F497A">
      <w:pPr>
        <w:numPr>
          <w:ilvl w:val="0"/>
          <w:numId w:val="5"/>
        </w:numPr>
        <w:spacing w:beforeAutospacing="1" w:afterAutospacing="1"/>
        <w:jc w:val="both"/>
        <w:rPr>
          <w:rFonts w:ascii="Aptos" w:eastAsia="Times New Roman" w:hAnsi="Aptos" w:cs="Times New Roman"/>
        </w:rPr>
      </w:pPr>
      <w:r w:rsidRPr="217F497A">
        <w:rPr>
          <w:rFonts w:ascii="Aptos" w:eastAsia="Times New Roman" w:hAnsi="Aptos" w:cs="Times New Roman"/>
        </w:rPr>
        <w:t xml:space="preserve">Ready-to-use </w:t>
      </w:r>
      <w:proofErr w:type="spellStart"/>
      <w:r w:rsidRPr="217F497A">
        <w:rPr>
          <w:rFonts w:ascii="Aptos" w:eastAsia="Times New Roman" w:hAnsi="Aptos" w:cs="Times New Roman"/>
        </w:rPr>
        <w:t>lesosn</w:t>
      </w:r>
      <w:proofErr w:type="spellEnd"/>
      <w:r w:rsidRPr="217F497A">
        <w:rPr>
          <w:rFonts w:ascii="Aptos" w:eastAsia="Times New Roman" w:hAnsi="Aptos" w:cs="Times New Roman"/>
        </w:rPr>
        <w:t xml:space="preserve"> plans and slides</w:t>
      </w:r>
    </w:p>
    <w:p w14:paraId="13316EC9" w14:textId="77777777" w:rsidR="001871F9" w:rsidRPr="001871F9" w:rsidRDefault="001871F9" w:rsidP="39A43F77">
      <w:pPr>
        <w:numPr>
          <w:ilvl w:val="0"/>
          <w:numId w:val="5"/>
        </w:numPr>
        <w:spacing w:before="100" w:beforeAutospacing="1" w:after="100" w:afterAutospacing="1"/>
        <w:jc w:val="both"/>
        <w:rPr>
          <w:rFonts w:ascii="Aptos" w:eastAsia="Times New Roman" w:hAnsi="Aptos" w:cs="Times New Roman"/>
        </w:rPr>
      </w:pPr>
      <w:r w:rsidRPr="001871F9">
        <w:rPr>
          <w:rFonts w:ascii="Aptos" w:eastAsia="Times New Roman" w:hAnsi="Aptos" w:cs="Times New Roman"/>
        </w:rPr>
        <w:t>Student-focused coaching that modeled routines in context</w:t>
      </w:r>
    </w:p>
    <w:p w14:paraId="6A73CC9D" w14:textId="77777777" w:rsidR="001871F9" w:rsidRPr="001871F9" w:rsidRDefault="001871F9" w:rsidP="39A43F77">
      <w:pPr>
        <w:numPr>
          <w:ilvl w:val="0"/>
          <w:numId w:val="5"/>
        </w:numPr>
        <w:spacing w:before="100" w:beforeAutospacing="1" w:after="100" w:afterAutospacing="1"/>
        <w:jc w:val="both"/>
        <w:rPr>
          <w:rFonts w:ascii="Aptos" w:eastAsia="Times New Roman" w:hAnsi="Aptos" w:cs="Times New Roman"/>
        </w:rPr>
      </w:pPr>
      <w:r w:rsidRPr="001871F9">
        <w:rPr>
          <w:rFonts w:ascii="Aptos" w:eastAsia="Times New Roman" w:hAnsi="Aptos" w:cs="Times New Roman"/>
        </w:rPr>
        <w:t>Aligned progress monitoring that visualized student growth</w:t>
      </w:r>
    </w:p>
    <w:p w14:paraId="7BD21440" w14:textId="2D0F9E8F" w:rsidR="1901DA99" w:rsidRPr="00C36C32" w:rsidRDefault="001871F9" w:rsidP="39A43F77">
      <w:pPr>
        <w:numPr>
          <w:ilvl w:val="0"/>
          <w:numId w:val="5"/>
        </w:numPr>
        <w:spacing w:before="100" w:beforeAutospacing="1" w:after="100" w:afterAutospacing="1"/>
        <w:jc w:val="both"/>
        <w:rPr>
          <w:rFonts w:ascii="Aptos" w:eastAsia="Times New Roman" w:hAnsi="Aptos" w:cs="Times New Roman"/>
        </w:rPr>
      </w:pPr>
      <w:r w:rsidRPr="1901DA99">
        <w:rPr>
          <w:rFonts w:ascii="Aptos" w:eastAsia="Times New Roman" w:hAnsi="Aptos" w:cs="Times New Roman"/>
        </w:rPr>
        <w:t>High-leverage routines for fluency and comprehension</w:t>
      </w:r>
    </w:p>
    <w:p w14:paraId="28A47B94" w14:textId="77777777" w:rsidR="001871F9" w:rsidRPr="001871F9" w:rsidRDefault="001871F9" w:rsidP="217F497A">
      <w:pPr>
        <w:spacing w:before="100" w:beforeAutospacing="1" w:after="100" w:afterAutospacing="1"/>
        <w:jc w:val="both"/>
        <w:rPr>
          <w:rFonts w:ascii="Aptos" w:eastAsia="Times New Roman" w:hAnsi="Aptos" w:cs="Times New Roman"/>
        </w:rPr>
      </w:pPr>
      <w:r w:rsidRPr="217F497A">
        <w:rPr>
          <w:rFonts w:ascii="Aptos" w:eastAsia="Times New Roman" w:hAnsi="Aptos" w:cs="Times New Roman"/>
        </w:rPr>
        <w:t>Teachers reported that these supports improved their confidence and reduced planning burdens. Classrooms that received more coaching visits were significantly more likely to fall into Level 1 or 2 use categories.</w:t>
      </w:r>
    </w:p>
    <w:p w14:paraId="072CF799" w14:textId="7B624CEB" w:rsidR="001871F9" w:rsidRPr="001871F9" w:rsidRDefault="00266AB7" w:rsidP="39A43F77">
      <w:pPr>
        <w:spacing w:after="0"/>
        <w:jc w:val="both"/>
        <w:rPr>
          <w:rFonts w:ascii="Aptos" w:eastAsia="Times New Roman" w:hAnsi="Aptos" w:cs="Times New Roman"/>
        </w:rPr>
      </w:pPr>
      <w:r>
        <w:rPr>
          <w:rFonts w:ascii="Aptos" w:eastAsia="Times New Roman" w:hAnsi="Aptos" w:cs="Times New Roman"/>
          <w:noProof/>
        </w:rPr>
        <w:pict w14:anchorId="549A4AC5">
          <v:rect id="_x0000_i1026" alt="" style="width:468pt;height:.05pt;mso-width-percent:0;mso-height-percent:0;mso-width-percent:0;mso-height-percent:0" o:hralign="center" o:hrstd="t" o:hr="t" fillcolor="#a0a0a0" stroked="f"/>
        </w:pict>
      </w:r>
    </w:p>
    <w:p w14:paraId="537858E8" w14:textId="6CF8B9A0" w:rsidR="3F4878A0" w:rsidRPr="00525211" w:rsidRDefault="001871F9" w:rsidP="39A43F77">
      <w:pPr>
        <w:pStyle w:val="NormalWeb"/>
        <w:jc w:val="both"/>
        <w:rPr>
          <w:rStyle w:val="Strong"/>
          <w:rFonts w:asciiTheme="minorHAnsi" w:hAnsiTheme="minorHAnsi"/>
          <w:b w:val="0"/>
          <w:bCs w:val="0"/>
          <w:color w:val="A02B93" w:themeColor="accent5"/>
          <w:sz w:val="28"/>
          <w:szCs w:val="28"/>
        </w:rPr>
      </w:pPr>
      <w:r w:rsidRPr="004833EC">
        <w:rPr>
          <w:rStyle w:val="Strong"/>
          <w:rFonts w:asciiTheme="minorHAnsi" w:hAnsiTheme="minorHAnsi"/>
          <w:color w:val="A02B93" w:themeColor="accent5"/>
          <w:sz w:val="28"/>
          <w:szCs w:val="28"/>
        </w:rPr>
        <w:t>Discussion and Implications</w:t>
      </w:r>
    </w:p>
    <w:p w14:paraId="0FD980BD" w14:textId="7807EDD1" w:rsidR="39A43F77" w:rsidRDefault="001871F9" w:rsidP="39A43F77">
      <w:pPr>
        <w:pStyle w:val="NormalWeb"/>
        <w:jc w:val="both"/>
        <w:rPr>
          <w:rFonts w:asciiTheme="minorHAnsi" w:hAnsiTheme="minorHAnsi"/>
        </w:rPr>
      </w:pPr>
      <w:r w:rsidRPr="1901DA99">
        <w:rPr>
          <w:rFonts w:asciiTheme="minorHAnsi" w:hAnsiTheme="minorHAnsi"/>
        </w:rPr>
        <w:t xml:space="preserve">This study provides compelling evidence that </w:t>
      </w:r>
      <w:r w:rsidRPr="1901DA99">
        <w:rPr>
          <w:rStyle w:val="Emphasis"/>
          <w:rFonts w:asciiTheme="minorHAnsi" w:hAnsiTheme="minorHAnsi"/>
        </w:rPr>
        <w:t>Geodes</w:t>
      </w:r>
      <w:r w:rsidRPr="1901DA99">
        <w:rPr>
          <w:rFonts w:asciiTheme="minorHAnsi" w:hAnsiTheme="minorHAnsi"/>
        </w:rPr>
        <w:t xml:space="preserve">, when implemented regularly and supported through structured implementation tools, drives meaningful gains in student reading fluency. </w:t>
      </w:r>
      <w:r w:rsidRPr="1901DA99">
        <w:rPr>
          <w:rFonts w:asciiTheme="minorHAnsi" w:hAnsiTheme="minorHAnsi"/>
        </w:rPr>
        <w:lastRenderedPageBreak/>
        <w:t xml:space="preserve">Students in classrooms with higher levels of </w:t>
      </w:r>
      <w:r w:rsidRPr="1901DA99">
        <w:rPr>
          <w:rStyle w:val="Emphasis"/>
          <w:rFonts w:asciiTheme="minorHAnsi" w:hAnsiTheme="minorHAnsi"/>
        </w:rPr>
        <w:t>Geodes</w:t>
      </w:r>
      <w:r w:rsidRPr="1901DA99">
        <w:rPr>
          <w:rFonts w:asciiTheme="minorHAnsi" w:hAnsiTheme="minorHAnsi"/>
        </w:rPr>
        <w:t xml:space="preserve"> integration showed the greatest improvements, confirming the efficacy of the materials themselves.</w:t>
      </w:r>
    </w:p>
    <w:p w14:paraId="18B8F1FD" w14:textId="6F7FAED5" w:rsidR="39A43F77" w:rsidRDefault="001871F9" w:rsidP="39A43F77">
      <w:pPr>
        <w:pStyle w:val="NormalWeb"/>
        <w:jc w:val="both"/>
        <w:rPr>
          <w:rFonts w:asciiTheme="minorHAnsi" w:hAnsiTheme="minorHAnsi"/>
        </w:rPr>
      </w:pPr>
      <w:r w:rsidRPr="1901DA99">
        <w:rPr>
          <w:rFonts w:asciiTheme="minorHAnsi" w:hAnsiTheme="minorHAnsi"/>
        </w:rPr>
        <w:t xml:space="preserve">Importantly, this research also highlights that materials alone are not enough. Implementation supports—such as student-centered coaching, ready-to-use routines, and curriculum-aligned progress monitoring—played a critical role in increasing teacher uptake and instructional coherence. Classrooms that received targeted, hands-on support were more likely to use </w:t>
      </w:r>
      <w:r w:rsidRPr="1901DA99">
        <w:rPr>
          <w:rStyle w:val="Emphasis"/>
          <w:rFonts w:asciiTheme="minorHAnsi" w:hAnsiTheme="minorHAnsi"/>
        </w:rPr>
        <w:t>Geodes</w:t>
      </w:r>
      <w:r w:rsidRPr="1901DA99">
        <w:rPr>
          <w:rFonts w:asciiTheme="minorHAnsi" w:hAnsiTheme="minorHAnsi"/>
        </w:rPr>
        <w:t xml:space="preserve"> consistently and purposefully, enabling more students to benefit from decodable, content-rich connected texts.</w:t>
      </w:r>
    </w:p>
    <w:p w14:paraId="08A30B18" w14:textId="3AFD67A4" w:rsidR="39A43F77" w:rsidRDefault="001871F9" w:rsidP="39A43F77">
      <w:pPr>
        <w:pStyle w:val="NormalWeb"/>
        <w:jc w:val="both"/>
        <w:rPr>
          <w:rFonts w:asciiTheme="minorHAnsi" w:hAnsiTheme="minorHAnsi"/>
        </w:rPr>
      </w:pPr>
      <w:r w:rsidRPr="1901DA99">
        <w:rPr>
          <w:rFonts w:asciiTheme="minorHAnsi" w:hAnsiTheme="minorHAnsi"/>
        </w:rPr>
        <w:t xml:space="preserve">These findings align with broader implementation science, suggesting that support mechanisms which elevate teacher voice and fit can increase the impact of even high-quality programs. For district leaders and policymakers, this underscores the value of pairing mandated programs with responsive, on-the-ground instructional supports. Doing so helps ensure that strong materials like </w:t>
      </w:r>
      <w:r w:rsidRPr="1901DA99">
        <w:rPr>
          <w:rStyle w:val="Emphasis"/>
          <w:rFonts w:asciiTheme="minorHAnsi" w:hAnsiTheme="minorHAnsi"/>
        </w:rPr>
        <w:t>Geodes</w:t>
      </w:r>
      <w:r w:rsidRPr="1901DA99">
        <w:rPr>
          <w:rFonts w:asciiTheme="minorHAnsi" w:hAnsiTheme="minorHAnsi"/>
        </w:rPr>
        <w:t xml:space="preserve"> are not only adopted but implemented in ways that lead to meaningful student outcomes.</w:t>
      </w:r>
    </w:p>
    <w:p w14:paraId="36FA6D93" w14:textId="77777777" w:rsidR="001871F9" w:rsidRPr="001871F9" w:rsidRDefault="001871F9" w:rsidP="39A43F77">
      <w:pPr>
        <w:pStyle w:val="NormalWeb"/>
        <w:jc w:val="both"/>
        <w:rPr>
          <w:rFonts w:asciiTheme="minorHAnsi" w:hAnsiTheme="minorHAnsi"/>
        </w:rPr>
      </w:pPr>
      <w:r w:rsidRPr="1901DA99">
        <w:rPr>
          <w:rFonts w:asciiTheme="minorHAnsi" w:hAnsiTheme="minorHAnsi"/>
        </w:rPr>
        <w:t xml:space="preserve">In the context of large-scale reform efforts like NYC Reads, these results suggest that embedding </w:t>
      </w:r>
      <w:r w:rsidRPr="1901DA99">
        <w:rPr>
          <w:rStyle w:val="Emphasis"/>
          <w:rFonts w:asciiTheme="minorHAnsi" w:hAnsiTheme="minorHAnsi"/>
        </w:rPr>
        <w:t>Geodes</w:t>
      </w:r>
      <w:r w:rsidRPr="1901DA99">
        <w:rPr>
          <w:rFonts w:asciiTheme="minorHAnsi" w:hAnsiTheme="minorHAnsi"/>
        </w:rPr>
        <w:t xml:space="preserve"> as a standard part of the literacy block—especially when accompanied by structured supports—can provide an effective and scalable strategy to improve early literacy achievement.</w:t>
      </w:r>
    </w:p>
    <w:p w14:paraId="1C279D28" w14:textId="77777777" w:rsidR="001871F9" w:rsidRPr="001871F9" w:rsidRDefault="00266AB7" w:rsidP="39A43F77">
      <w:pPr>
        <w:spacing w:after="0"/>
        <w:jc w:val="both"/>
        <w:rPr>
          <w:rFonts w:ascii="Aptos" w:eastAsia="Times New Roman" w:hAnsi="Aptos" w:cs="Times New Roman"/>
        </w:rPr>
      </w:pPr>
      <w:r>
        <w:rPr>
          <w:rFonts w:ascii="Aptos" w:eastAsia="Times New Roman" w:hAnsi="Aptos" w:cs="Times New Roman"/>
          <w:noProof/>
        </w:rPr>
        <w:pict w14:anchorId="5097767C">
          <v:rect id="_x0000_i1025" alt="" style="width:468pt;height:.05pt;mso-width-percent:0;mso-height-percent:0;mso-width-percent:0;mso-height-percent:0" o:hralign="center" o:hrstd="t" o:hr="t" fillcolor="#a0a0a0" stroked="f"/>
        </w:pict>
      </w:r>
    </w:p>
    <w:p w14:paraId="13E2B14C" w14:textId="000F03D0" w:rsidR="3F4878A0" w:rsidRPr="00525211" w:rsidRDefault="001871F9" w:rsidP="00525211">
      <w:pPr>
        <w:spacing w:before="100" w:beforeAutospacing="1" w:after="100" w:afterAutospacing="1"/>
        <w:jc w:val="both"/>
        <w:rPr>
          <w:rFonts w:ascii="Aptos" w:eastAsia="Times New Roman" w:hAnsi="Aptos" w:cs="Times New Roman"/>
          <w:color w:val="A02B93" w:themeColor="accent5"/>
          <w:sz w:val="28"/>
          <w:szCs w:val="28"/>
        </w:rPr>
      </w:pPr>
      <w:r w:rsidRPr="004833EC">
        <w:rPr>
          <w:rFonts w:ascii="Aptos" w:eastAsia="Times New Roman" w:hAnsi="Aptos" w:cs="Times New Roman"/>
          <w:b/>
          <w:bCs/>
          <w:color w:val="A02B93" w:themeColor="accent5"/>
          <w:sz w:val="28"/>
          <w:szCs w:val="28"/>
        </w:rPr>
        <w:t>References</w:t>
      </w:r>
    </w:p>
    <w:p w14:paraId="7E9B2F1C" w14:textId="74D5C3FB" w:rsidR="39A43F77" w:rsidRDefault="001871F9" w:rsidP="00525211">
      <w:pPr>
        <w:spacing w:before="100" w:beforeAutospacing="1" w:after="100" w:afterAutospacing="1"/>
        <w:jc w:val="both"/>
        <w:rPr>
          <w:rFonts w:ascii="Aptos" w:eastAsia="Times New Roman" w:hAnsi="Aptos" w:cs="Times New Roman"/>
        </w:rPr>
      </w:pPr>
      <w:r w:rsidRPr="1901DA99">
        <w:rPr>
          <w:rFonts w:ascii="Aptos" w:eastAsia="Times New Roman" w:hAnsi="Aptos" w:cs="Times New Roman"/>
        </w:rPr>
        <w:t xml:space="preserve">Biggs, E., &amp; Hacker, R. (2021). Engaging stakeholders to improve social validity: Intervention priorities for students with complex communication needs. </w:t>
      </w:r>
      <w:r w:rsidRPr="1901DA99">
        <w:rPr>
          <w:rFonts w:ascii="Aptos" w:eastAsia="Times New Roman" w:hAnsi="Aptos" w:cs="Times New Roman"/>
          <w:i/>
          <w:iCs/>
        </w:rPr>
        <w:t>Augmentative and Alternative Communication</w:t>
      </w:r>
      <w:r w:rsidRPr="1901DA99">
        <w:rPr>
          <w:rFonts w:ascii="Aptos" w:eastAsia="Times New Roman" w:hAnsi="Aptos" w:cs="Times New Roman"/>
        </w:rPr>
        <w:t>, 37, 25-38.</w:t>
      </w:r>
    </w:p>
    <w:p w14:paraId="667D7A90" w14:textId="2A07D9E8" w:rsidR="1901DA99" w:rsidRDefault="001871F9" w:rsidP="39A43F77">
      <w:pPr>
        <w:spacing w:before="100" w:beforeAutospacing="1" w:after="100" w:afterAutospacing="1"/>
        <w:jc w:val="both"/>
        <w:rPr>
          <w:rFonts w:ascii="Aptos" w:eastAsia="Times New Roman" w:hAnsi="Aptos" w:cs="Times New Roman"/>
        </w:rPr>
      </w:pPr>
      <w:r w:rsidRPr="1901DA99">
        <w:rPr>
          <w:rFonts w:ascii="Aptos" w:eastAsia="Times New Roman" w:hAnsi="Aptos" w:cs="Times New Roman"/>
        </w:rPr>
        <w:t xml:space="preserve">Birken, S. et al. (2020). Advancing understanding and identifying strategies for sustaining evidence-based practices: A review of reviews. </w:t>
      </w:r>
      <w:r w:rsidRPr="1901DA99">
        <w:rPr>
          <w:rFonts w:ascii="Aptos" w:eastAsia="Times New Roman" w:hAnsi="Aptos" w:cs="Times New Roman"/>
          <w:i/>
          <w:iCs/>
        </w:rPr>
        <w:t>Implementation Science</w:t>
      </w:r>
      <w:r w:rsidRPr="1901DA99">
        <w:rPr>
          <w:rFonts w:ascii="Aptos" w:eastAsia="Times New Roman" w:hAnsi="Aptos" w:cs="Times New Roman"/>
        </w:rPr>
        <w:t>, 15(88).</w:t>
      </w:r>
    </w:p>
    <w:p w14:paraId="7B223E7F" w14:textId="3C104739" w:rsidR="39A43F77" w:rsidRDefault="39A43F77" w:rsidP="39A43F77">
      <w:pPr>
        <w:spacing w:beforeAutospacing="1" w:afterAutospacing="1"/>
        <w:jc w:val="both"/>
        <w:rPr>
          <w:rFonts w:ascii="Aptos" w:eastAsia="Times New Roman" w:hAnsi="Aptos" w:cs="Times New Roman"/>
        </w:rPr>
      </w:pPr>
    </w:p>
    <w:p w14:paraId="65191F98" w14:textId="17921967" w:rsidR="39A43F77" w:rsidRDefault="001871F9" w:rsidP="00525211">
      <w:pPr>
        <w:spacing w:before="100" w:beforeAutospacing="1" w:after="100" w:afterAutospacing="1"/>
        <w:jc w:val="both"/>
        <w:rPr>
          <w:rFonts w:ascii="Aptos" w:eastAsia="Times New Roman" w:hAnsi="Aptos" w:cs="Times New Roman"/>
        </w:rPr>
      </w:pPr>
      <w:r w:rsidRPr="1901DA99">
        <w:rPr>
          <w:rFonts w:ascii="Aptos" w:eastAsia="Times New Roman" w:hAnsi="Aptos" w:cs="Times New Roman"/>
        </w:rPr>
        <w:t xml:space="preserve">Braun, V., &amp; Clarke, V. (2006). Using thematic analysis in psychology. </w:t>
      </w:r>
      <w:r w:rsidRPr="1901DA99">
        <w:rPr>
          <w:rFonts w:ascii="Aptos" w:eastAsia="Times New Roman" w:hAnsi="Aptos" w:cs="Times New Roman"/>
          <w:i/>
          <w:iCs/>
        </w:rPr>
        <w:t>Qualitative Research in Psychology</w:t>
      </w:r>
      <w:r w:rsidRPr="1901DA99">
        <w:rPr>
          <w:rFonts w:ascii="Aptos" w:eastAsia="Times New Roman" w:hAnsi="Aptos" w:cs="Times New Roman"/>
        </w:rPr>
        <w:t>, 3, 77-101.</w:t>
      </w:r>
    </w:p>
    <w:p w14:paraId="3A46A596" w14:textId="3C3A8E9E" w:rsidR="39A43F77" w:rsidRDefault="001871F9" w:rsidP="00525211">
      <w:pPr>
        <w:spacing w:before="100" w:beforeAutospacing="1" w:after="100" w:afterAutospacing="1"/>
        <w:jc w:val="both"/>
        <w:rPr>
          <w:rFonts w:ascii="Aptos" w:eastAsia="Times New Roman" w:hAnsi="Aptos" w:cs="Times New Roman"/>
        </w:rPr>
      </w:pPr>
      <w:r w:rsidRPr="1901DA99">
        <w:rPr>
          <w:rFonts w:ascii="Aptos" w:eastAsia="Times New Roman" w:hAnsi="Aptos" w:cs="Times New Roman"/>
        </w:rPr>
        <w:t xml:space="preserve">Bryk, A. S., Gomez, L. M., Grunow, A., &amp; LeMahieu, P. G. (2015). </w:t>
      </w:r>
      <w:r w:rsidRPr="1901DA99">
        <w:rPr>
          <w:rFonts w:ascii="Aptos" w:eastAsia="Times New Roman" w:hAnsi="Aptos" w:cs="Times New Roman"/>
          <w:i/>
          <w:iCs/>
        </w:rPr>
        <w:t>Learning to improve: How America’s schools can get better at getting better</w:t>
      </w:r>
      <w:r w:rsidRPr="1901DA99">
        <w:rPr>
          <w:rFonts w:ascii="Aptos" w:eastAsia="Times New Roman" w:hAnsi="Aptos" w:cs="Times New Roman"/>
        </w:rPr>
        <w:t>. Harvard Education Press.</w:t>
      </w:r>
    </w:p>
    <w:p w14:paraId="7845B930" w14:textId="0002EB68" w:rsidR="39A43F77" w:rsidRDefault="001871F9" w:rsidP="00525211">
      <w:pPr>
        <w:spacing w:before="100" w:beforeAutospacing="1" w:after="100" w:afterAutospacing="1"/>
        <w:jc w:val="both"/>
        <w:rPr>
          <w:rFonts w:ascii="Aptos" w:eastAsia="Times New Roman" w:hAnsi="Aptos" w:cs="Times New Roman"/>
        </w:rPr>
      </w:pPr>
      <w:r w:rsidRPr="1901DA99">
        <w:rPr>
          <w:rFonts w:ascii="Aptos" w:eastAsia="Times New Roman" w:hAnsi="Aptos" w:cs="Times New Roman"/>
        </w:rPr>
        <w:t xml:space="preserve">Domitrovich, C. E., et al. (2008). Maximizing the implementation quality of evidence-based preventive interventions in schools: A conceptual framework. </w:t>
      </w:r>
      <w:r w:rsidRPr="1901DA99">
        <w:rPr>
          <w:rFonts w:ascii="Aptos" w:eastAsia="Times New Roman" w:hAnsi="Aptos" w:cs="Times New Roman"/>
          <w:i/>
          <w:iCs/>
        </w:rPr>
        <w:t>Advancing School Mental Health Promotion</w:t>
      </w:r>
      <w:r w:rsidRPr="1901DA99">
        <w:rPr>
          <w:rFonts w:ascii="Aptos" w:eastAsia="Times New Roman" w:hAnsi="Aptos" w:cs="Times New Roman"/>
        </w:rPr>
        <w:t>, 1(1), 6–28.</w:t>
      </w:r>
    </w:p>
    <w:p w14:paraId="54C1CA8C" w14:textId="6A5BC6AD" w:rsidR="39A43F77" w:rsidRDefault="001871F9" w:rsidP="00525211">
      <w:pPr>
        <w:spacing w:before="100" w:beforeAutospacing="1" w:after="100" w:afterAutospacing="1"/>
        <w:jc w:val="both"/>
        <w:rPr>
          <w:rFonts w:ascii="Aptos" w:eastAsia="Times New Roman" w:hAnsi="Aptos" w:cs="Times New Roman"/>
        </w:rPr>
      </w:pPr>
      <w:r w:rsidRPr="1901DA99">
        <w:rPr>
          <w:rFonts w:ascii="Aptos" w:eastAsia="Times New Roman" w:hAnsi="Aptos" w:cs="Times New Roman"/>
        </w:rPr>
        <w:lastRenderedPageBreak/>
        <w:t xml:space="preserve">Fixsen, D. L., et al. (2005). </w:t>
      </w:r>
      <w:r w:rsidRPr="1901DA99">
        <w:rPr>
          <w:rFonts w:ascii="Aptos" w:eastAsia="Times New Roman" w:hAnsi="Aptos" w:cs="Times New Roman"/>
          <w:i/>
          <w:iCs/>
        </w:rPr>
        <w:t>Implementation research: A synthesis of the literature</w:t>
      </w:r>
      <w:r w:rsidRPr="1901DA99">
        <w:rPr>
          <w:rFonts w:ascii="Aptos" w:eastAsia="Times New Roman" w:hAnsi="Aptos" w:cs="Times New Roman"/>
        </w:rPr>
        <w:t>. University of South Florida.</w:t>
      </w:r>
    </w:p>
    <w:p w14:paraId="07ADE19B" w14:textId="303E59D6" w:rsidR="39A43F77" w:rsidRDefault="001871F9" w:rsidP="00525211">
      <w:pPr>
        <w:spacing w:before="100" w:beforeAutospacing="1" w:after="100" w:afterAutospacing="1"/>
        <w:jc w:val="both"/>
        <w:rPr>
          <w:rFonts w:ascii="Aptos" w:eastAsia="Times New Roman" w:hAnsi="Aptos" w:cs="Times New Roman"/>
        </w:rPr>
      </w:pPr>
      <w:r w:rsidRPr="001871F9">
        <w:rPr>
          <w:rFonts w:ascii="Aptos" w:eastAsia="Times New Roman" w:hAnsi="Aptos" w:cs="Times New Roman"/>
        </w:rPr>
        <w:t xml:space="preserve">Hasbrouck, J., &amp; Michel, D. (2022). </w:t>
      </w:r>
      <w:r w:rsidRPr="001871F9">
        <w:rPr>
          <w:rFonts w:ascii="Aptos" w:eastAsia="Times New Roman" w:hAnsi="Aptos" w:cs="Times New Roman"/>
          <w:i/>
          <w:iCs/>
        </w:rPr>
        <w:t>Student-focused coaching</w:t>
      </w:r>
      <w:r w:rsidRPr="001871F9">
        <w:rPr>
          <w:rFonts w:ascii="Aptos" w:eastAsia="Times New Roman" w:hAnsi="Aptos" w:cs="Times New Roman"/>
        </w:rPr>
        <w:t>. Paul H. Brookes Publishing.</w:t>
      </w:r>
    </w:p>
    <w:p w14:paraId="242157FE" w14:textId="73188FA5" w:rsidR="39A43F77" w:rsidRDefault="001871F9" w:rsidP="00525211">
      <w:pPr>
        <w:spacing w:before="100" w:beforeAutospacing="1" w:after="100" w:afterAutospacing="1"/>
        <w:jc w:val="both"/>
        <w:rPr>
          <w:rFonts w:ascii="Aptos" w:eastAsia="Times New Roman" w:hAnsi="Aptos" w:cs="Times New Roman"/>
        </w:rPr>
      </w:pPr>
      <w:r w:rsidRPr="1901DA99">
        <w:rPr>
          <w:rFonts w:ascii="Aptos" w:eastAsia="Times New Roman" w:hAnsi="Aptos" w:cs="Times New Roman"/>
        </w:rPr>
        <w:t xml:space="preserve">Hasbrouck, J., &amp; Tindal, G. (2017). </w:t>
      </w:r>
      <w:r w:rsidRPr="1901DA99">
        <w:rPr>
          <w:rFonts w:ascii="Aptos" w:eastAsia="Times New Roman" w:hAnsi="Aptos" w:cs="Times New Roman"/>
          <w:i/>
          <w:iCs/>
        </w:rPr>
        <w:t>Oral reading fluency norms: 2017 update</w:t>
      </w:r>
      <w:r w:rsidRPr="1901DA99">
        <w:rPr>
          <w:rFonts w:ascii="Aptos" w:eastAsia="Times New Roman" w:hAnsi="Aptos" w:cs="Times New Roman"/>
        </w:rPr>
        <w:t>. Read Naturally.</w:t>
      </w:r>
    </w:p>
    <w:p w14:paraId="25198514" w14:textId="2B46B489" w:rsidR="39A43F77" w:rsidRDefault="001871F9" w:rsidP="00525211">
      <w:pPr>
        <w:spacing w:before="100" w:beforeAutospacing="1" w:after="100" w:afterAutospacing="1"/>
        <w:jc w:val="both"/>
        <w:rPr>
          <w:rFonts w:ascii="Aptos" w:eastAsia="Times New Roman" w:hAnsi="Aptos" w:cs="Times New Roman"/>
        </w:rPr>
      </w:pPr>
      <w:r w:rsidRPr="1901DA99">
        <w:rPr>
          <w:rFonts w:ascii="Aptos" w:eastAsia="Times New Roman" w:hAnsi="Aptos" w:cs="Times New Roman"/>
        </w:rPr>
        <w:t xml:space="preserve">Hiebert, E. H. (2024). Enhancing opportunities for decoding and knowledge building through beginning texts. </w:t>
      </w:r>
      <w:r w:rsidRPr="1901DA99">
        <w:rPr>
          <w:rFonts w:ascii="Aptos" w:eastAsia="Times New Roman" w:hAnsi="Aptos" w:cs="Times New Roman"/>
          <w:i/>
          <w:iCs/>
        </w:rPr>
        <w:t>The Reading Teacher</w:t>
      </w:r>
      <w:r w:rsidRPr="1901DA99">
        <w:rPr>
          <w:rFonts w:ascii="Aptos" w:eastAsia="Times New Roman" w:hAnsi="Aptos" w:cs="Times New Roman"/>
        </w:rPr>
        <w:t xml:space="preserve">. </w:t>
      </w:r>
      <w:hyperlink r:id="rId7">
        <w:r w:rsidRPr="1901DA99">
          <w:rPr>
            <w:rStyle w:val="Hyperlink"/>
            <w:rFonts w:ascii="Aptos" w:eastAsia="Times New Roman" w:hAnsi="Aptos" w:cs="Times New Roman"/>
          </w:rPr>
          <w:t>https://doi.org/10.1002/trtr.2303</w:t>
        </w:r>
      </w:hyperlink>
    </w:p>
    <w:p w14:paraId="28220629" w14:textId="1B217311" w:rsidR="39A43F77" w:rsidRDefault="001871F9" w:rsidP="00525211">
      <w:pPr>
        <w:spacing w:before="100" w:beforeAutospacing="1" w:after="100" w:afterAutospacing="1"/>
        <w:jc w:val="both"/>
        <w:rPr>
          <w:rFonts w:ascii="Aptos" w:eastAsia="Times New Roman" w:hAnsi="Aptos" w:cs="Times New Roman"/>
        </w:rPr>
      </w:pPr>
      <w:r w:rsidRPr="1901DA99">
        <w:rPr>
          <w:rFonts w:ascii="Aptos" w:eastAsia="Times New Roman" w:hAnsi="Aptos" w:cs="Times New Roman"/>
        </w:rPr>
        <w:t xml:space="preserve">Kraft, M. A., Blazar, D., &amp; Hogan, D. (2018). The effect of teacher coaching on instruction and achievement: A meta-analysis of the causal evidence. </w:t>
      </w:r>
      <w:r w:rsidRPr="1901DA99">
        <w:rPr>
          <w:rFonts w:ascii="Aptos" w:eastAsia="Times New Roman" w:hAnsi="Aptos" w:cs="Times New Roman"/>
          <w:i/>
          <w:iCs/>
        </w:rPr>
        <w:t>Review of Educational Research</w:t>
      </w:r>
      <w:r w:rsidRPr="1901DA99">
        <w:rPr>
          <w:rFonts w:ascii="Aptos" w:eastAsia="Times New Roman" w:hAnsi="Aptos" w:cs="Times New Roman"/>
        </w:rPr>
        <w:t>, 88(4), 547–588.</w:t>
      </w:r>
    </w:p>
    <w:p w14:paraId="5864A1CF" w14:textId="05B8F1A0" w:rsidR="39A43F77" w:rsidRDefault="001871F9" w:rsidP="00525211">
      <w:pPr>
        <w:spacing w:before="100" w:beforeAutospacing="1" w:after="100" w:afterAutospacing="1"/>
        <w:jc w:val="both"/>
        <w:rPr>
          <w:rFonts w:ascii="Aptos" w:eastAsia="Times New Roman" w:hAnsi="Aptos" w:cs="Times New Roman"/>
        </w:rPr>
      </w:pPr>
      <w:r w:rsidRPr="1901DA99">
        <w:rPr>
          <w:rFonts w:ascii="Aptos" w:eastAsia="Times New Roman" w:hAnsi="Aptos" w:cs="Times New Roman"/>
        </w:rPr>
        <w:t xml:space="preserve">Mandler, J. M., &amp; Johnson, N. S. (1977). Remembrance of things parsed: Story structure and recall. </w:t>
      </w:r>
      <w:r w:rsidRPr="1901DA99">
        <w:rPr>
          <w:rFonts w:ascii="Aptos" w:eastAsia="Times New Roman" w:hAnsi="Aptos" w:cs="Times New Roman"/>
          <w:i/>
          <w:iCs/>
        </w:rPr>
        <w:t>Cognitive Psychology</w:t>
      </w:r>
      <w:r w:rsidRPr="1901DA99">
        <w:rPr>
          <w:rFonts w:ascii="Aptos" w:eastAsia="Times New Roman" w:hAnsi="Aptos" w:cs="Times New Roman"/>
        </w:rPr>
        <w:t>, 9, 111–151.</w:t>
      </w:r>
    </w:p>
    <w:p w14:paraId="5B1678A6" w14:textId="28967375" w:rsidR="39A43F77" w:rsidRDefault="001871F9" w:rsidP="00525211">
      <w:pPr>
        <w:spacing w:before="100" w:beforeAutospacing="1" w:after="100" w:afterAutospacing="1"/>
        <w:jc w:val="both"/>
        <w:rPr>
          <w:rFonts w:ascii="Aptos" w:eastAsia="Times New Roman" w:hAnsi="Aptos" w:cs="Times New Roman"/>
        </w:rPr>
      </w:pPr>
      <w:r w:rsidRPr="1901DA99">
        <w:rPr>
          <w:rFonts w:ascii="Aptos" w:eastAsia="Times New Roman" w:hAnsi="Aptos" w:cs="Times New Roman"/>
        </w:rPr>
        <w:t xml:space="preserve">Wheeler, J. J., &amp; Carter, S. L. (2019). </w:t>
      </w:r>
      <w:r w:rsidRPr="1901DA99">
        <w:rPr>
          <w:rFonts w:ascii="Aptos" w:eastAsia="Times New Roman" w:hAnsi="Aptos" w:cs="Times New Roman"/>
          <w:i/>
          <w:iCs/>
        </w:rPr>
        <w:t>The social validity manual: Subjective evaluation of interventions</w:t>
      </w:r>
      <w:r w:rsidRPr="1901DA99">
        <w:rPr>
          <w:rFonts w:ascii="Aptos" w:eastAsia="Times New Roman" w:hAnsi="Aptos" w:cs="Times New Roman"/>
        </w:rPr>
        <w:t>. Academic Press.</w:t>
      </w:r>
    </w:p>
    <w:p w14:paraId="25CC9E1F" w14:textId="208D5DBD" w:rsidR="009C2569" w:rsidRPr="00C36C32" w:rsidRDefault="001871F9" w:rsidP="39A43F77">
      <w:pPr>
        <w:spacing w:before="100" w:beforeAutospacing="1" w:after="100" w:afterAutospacing="1"/>
        <w:jc w:val="both"/>
        <w:rPr>
          <w:rFonts w:ascii="Aptos" w:eastAsia="Times New Roman" w:hAnsi="Aptos" w:cs="Times New Roman"/>
        </w:rPr>
      </w:pPr>
      <w:r w:rsidRPr="001871F9">
        <w:rPr>
          <w:rFonts w:ascii="Aptos" w:eastAsia="Times New Roman" w:hAnsi="Aptos" w:cs="Times New Roman"/>
        </w:rPr>
        <w:t xml:space="preserve">Wolf, M. M. (1978). Social validity: The case for subjective measurement or how applied behavior analysis is finding its heart. </w:t>
      </w:r>
      <w:r w:rsidRPr="001871F9">
        <w:rPr>
          <w:rFonts w:ascii="Aptos" w:eastAsia="Times New Roman" w:hAnsi="Aptos" w:cs="Times New Roman"/>
          <w:i/>
          <w:iCs/>
        </w:rPr>
        <w:t>Journal of Applied Behavior Analysis</w:t>
      </w:r>
      <w:r w:rsidRPr="001871F9">
        <w:rPr>
          <w:rFonts w:ascii="Aptos" w:eastAsia="Times New Roman" w:hAnsi="Aptos" w:cs="Times New Roman"/>
        </w:rPr>
        <w:t>, 11(2), 203–214.</w:t>
      </w:r>
    </w:p>
    <w:sectPr w:rsidR="009C2569" w:rsidRPr="00C36C32" w:rsidSect="001871F9">
      <w:footnotePr>
        <w:numRestart w:val="eachSect"/>
      </w:footnotePr>
      <w:pgSz w:w="12240" w:h="1584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7AE88794"/>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AA4577B"/>
    <w:multiLevelType w:val="hybridMultilevel"/>
    <w:tmpl w:val="FFFFFFFF"/>
    <w:lvl w:ilvl="0" w:tplc="0E90F782">
      <w:start w:val="1"/>
      <w:numFmt w:val="bullet"/>
      <w:lvlText w:val=""/>
      <w:lvlJc w:val="left"/>
      <w:pPr>
        <w:ind w:left="720" w:hanging="360"/>
      </w:pPr>
      <w:rPr>
        <w:rFonts w:ascii="Symbol" w:hAnsi="Symbol" w:hint="default"/>
      </w:rPr>
    </w:lvl>
    <w:lvl w:ilvl="1" w:tplc="02A61874">
      <w:start w:val="1"/>
      <w:numFmt w:val="bullet"/>
      <w:lvlText w:val="o"/>
      <w:lvlJc w:val="left"/>
      <w:pPr>
        <w:ind w:left="1440" w:hanging="360"/>
      </w:pPr>
      <w:rPr>
        <w:rFonts w:ascii="Courier New" w:hAnsi="Courier New" w:hint="default"/>
      </w:rPr>
    </w:lvl>
    <w:lvl w:ilvl="2" w:tplc="75EC6C02">
      <w:start w:val="1"/>
      <w:numFmt w:val="bullet"/>
      <w:lvlText w:val=""/>
      <w:lvlJc w:val="left"/>
      <w:pPr>
        <w:ind w:left="2160" w:hanging="360"/>
      </w:pPr>
      <w:rPr>
        <w:rFonts w:ascii="Wingdings" w:hAnsi="Wingdings" w:hint="default"/>
      </w:rPr>
    </w:lvl>
    <w:lvl w:ilvl="3" w:tplc="261E920C">
      <w:start w:val="1"/>
      <w:numFmt w:val="bullet"/>
      <w:lvlText w:val=""/>
      <w:lvlJc w:val="left"/>
      <w:pPr>
        <w:ind w:left="2880" w:hanging="360"/>
      </w:pPr>
      <w:rPr>
        <w:rFonts w:ascii="Symbol" w:hAnsi="Symbol" w:hint="default"/>
      </w:rPr>
    </w:lvl>
    <w:lvl w:ilvl="4" w:tplc="6D861698">
      <w:start w:val="1"/>
      <w:numFmt w:val="bullet"/>
      <w:lvlText w:val="o"/>
      <w:lvlJc w:val="left"/>
      <w:pPr>
        <w:ind w:left="3600" w:hanging="360"/>
      </w:pPr>
      <w:rPr>
        <w:rFonts w:ascii="Courier New" w:hAnsi="Courier New" w:hint="default"/>
      </w:rPr>
    </w:lvl>
    <w:lvl w:ilvl="5" w:tplc="3AEA83F8">
      <w:start w:val="1"/>
      <w:numFmt w:val="bullet"/>
      <w:lvlText w:val=""/>
      <w:lvlJc w:val="left"/>
      <w:pPr>
        <w:ind w:left="4320" w:hanging="360"/>
      </w:pPr>
      <w:rPr>
        <w:rFonts w:ascii="Wingdings" w:hAnsi="Wingdings" w:hint="default"/>
      </w:rPr>
    </w:lvl>
    <w:lvl w:ilvl="6" w:tplc="3DE88058">
      <w:start w:val="1"/>
      <w:numFmt w:val="bullet"/>
      <w:lvlText w:val=""/>
      <w:lvlJc w:val="left"/>
      <w:pPr>
        <w:ind w:left="5040" w:hanging="360"/>
      </w:pPr>
      <w:rPr>
        <w:rFonts w:ascii="Symbol" w:hAnsi="Symbol" w:hint="default"/>
      </w:rPr>
    </w:lvl>
    <w:lvl w:ilvl="7" w:tplc="3F4A6890">
      <w:start w:val="1"/>
      <w:numFmt w:val="bullet"/>
      <w:lvlText w:val="o"/>
      <w:lvlJc w:val="left"/>
      <w:pPr>
        <w:ind w:left="5760" w:hanging="360"/>
      </w:pPr>
      <w:rPr>
        <w:rFonts w:ascii="Courier New" w:hAnsi="Courier New" w:hint="default"/>
      </w:rPr>
    </w:lvl>
    <w:lvl w:ilvl="8" w:tplc="D382A44E">
      <w:start w:val="1"/>
      <w:numFmt w:val="bullet"/>
      <w:lvlText w:val=""/>
      <w:lvlJc w:val="left"/>
      <w:pPr>
        <w:ind w:left="6480" w:hanging="360"/>
      </w:pPr>
      <w:rPr>
        <w:rFonts w:ascii="Wingdings" w:hAnsi="Wingdings" w:hint="default"/>
      </w:rPr>
    </w:lvl>
  </w:abstractNum>
  <w:abstractNum w:abstractNumId="2" w15:restartNumberingAfterBreak="0">
    <w:nsid w:val="2D5D7FBF"/>
    <w:multiLevelType w:val="multilevel"/>
    <w:tmpl w:val="26B68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6D2993"/>
    <w:multiLevelType w:val="multilevel"/>
    <w:tmpl w:val="2E60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333DC0"/>
    <w:multiLevelType w:val="multilevel"/>
    <w:tmpl w:val="6812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5322448">
    <w:abstractNumId w:val="1"/>
  </w:num>
  <w:num w:numId="2" w16cid:durableId="1245918129">
    <w:abstractNumId w:val="0"/>
  </w:num>
  <w:num w:numId="3" w16cid:durableId="92868463">
    <w:abstractNumId w:val="2"/>
  </w:num>
  <w:num w:numId="4" w16cid:durableId="314844325">
    <w:abstractNumId w:val="4"/>
  </w:num>
  <w:num w:numId="5" w16cid:durableId="1225288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69"/>
    <w:rsid w:val="00015669"/>
    <w:rsid w:val="00020B88"/>
    <w:rsid w:val="000235B6"/>
    <w:rsid w:val="00080A50"/>
    <w:rsid w:val="00096FE7"/>
    <w:rsid w:val="000C568E"/>
    <w:rsid w:val="000C610F"/>
    <w:rsid w:val="00132ABB"/>
    <w:rsid w:val="0016616A"/>
    <w:rsid w:val="00183227"/>
    <w:rsid w:val="0018613B"/>
    <w:rsid w:val="001871F9"/>
    <w:rsid w:val="001A25EA"/>
    <w:rsid w:val="001A2A79"/>
    <w:rsid w:val="001A4CE2"/>
    <w:rsid w:val="001D045B"/>
    <w:rsid w:val="002208FB"/>
    <w:rsid w:val="00266AB7"/>
    <w:rsid w:val="002A1BB5"/>
    <w:rsid w:val="00326A99"/>
    <w:rsid w:val="00337563"/>
    <w:rsid w:val="003765A0"/>
    <w:rsid w:val="003C1135"/>
    <w:rsid w:val="00404174"/>
    <w:rsid w:val="00413E6A"/>
    <w:rsid w:val="0041545C"/>
    <w:rsid w:val="004544BB"/>
    <w:rsid w:val="004833EC"/>
    <w:rsid w:val="0048359E"/>
    <w:rsid w:val="004E78AA"/>
    <w:rsid w:val="00525211"/>
    <w:rsid w:val="00582135"/>
    <w:rsid w:val="0058248D"/>
    <w:rsid w:val="0058386F"/>
    <w:rsid w:val="005946D2"/>
    <w:rsid w:val="005E0AE5"/>
    <w:rsid w:val="005E702D"/>
    <w:rsid w:val="006219D6"/>
    <w:rsid w:val="00637805"/>
    <w:rsid w:val="006469DD"/>
    <w:rsid w:val="00681975"/>
    <w:rsid w:val="00684C25"/>
    <w:rsid w:val="00696CBD"/>
    <w:rsid w:val="006B6ABD"/>
    <w:rsid w:val="006F02D3"/>
    <w:rsid w:val="006F1049"/>
    <w:rsid w:val="006F2619"/>
    <w:rsid w:val="006F29D2"/>
    <w:rsid w:val="006F72AC"/>
    <w:rsid w:val="007C7DF0"/>
    <w:rsid w:val="007D122B"/>
    <w:rsid w:val="007F504B"/>
    <w:rsid w:val="00866D43"/>
    <w:rsid w:val="00955B5C"/>
    <w:rsid w:val="00957B73"/>
    <w:rsid w:val="009677CF"/>
    <w:rsid w:val="00992F03"/>
    <w:rsid w:val="009C2569"/>
    <w:rsid w:val="00A503AC"/>
    <w:rsid w:val="00A56389"/>
    <w:rsid w:val="00A74006"/>
    <w:rsid w:val="00A82A5E"/>
    <w:rsid w:val="00AC50D8"/>
    <w:rsid w:val="00AF359E"/>
    <w:rsid w:val="00B05919"/>
    <w:rsid w:val="00B26C21"/>
    <w:rsid w:val="00BB5058"/>
    <w:rsid w:val="00BD7ED8"/>
    <w:rsid w:val="00C16B49"/>
    <w:rsid w:val="00C31CEF"/>
    <w:rsid w:val="00C36C32"/>
    <w:rsid w:val="00C5648D"/>
    <w:rsid w:val="00CB3C8B"/>
    <w:rsid w:val="00DA5929"/>
    <w:rsid w:val="00DE08EF"/>
    <w:rsid w:val="00E61F41"/>
    <w:rsid w:val="00E8734D"/>
    <w:rsid w:val="00F874F6"/>
    <w:rsid w:val="00FB4CA8"/>
    <w:rsid w:val="00FC249C"/>
    <w:rsid w:val="00FF19DE"/>
    <w:rsid w:val="04AF1052"/>
    <w:rsid w:val="073143B2"/>
    <w:rsid w:val="0EAB90A7"/>
    <w:rsid w:val="11E528C9"/>
    <w:rsid w:val="14985BF9"/>
    <w:rsid w:val="16BF4E8B"/>
    <w:rsid w:val="1901DA99"/>
    <w:rsid w:val="1A2FB9D0"/>
    <w:rsid w:val="1D03EAF9"/>
    <w:rsid w:val="20049700"/>
    <w:rsid w:val="205823DA"/>
    <w:rsid w:val="217F497A"/>
    <w:rsid w:val="27226343"/>
    <w:rsid w:val="272B04F1"/>
    <w:rsid w:val="27B17B65"/>
    <w:rsid w:val="2962A9B7"/>
    <w:rsid w:val="2B23077A"/>
    <w:rsid w:val="2D04ACE0"/>
    <w:rsid w:val="2DD60ADF"/>
    <w:rsid w:val="2F1C7A87"/>
    <w:rsid w:val="2FAD4025"/>
    <w:rsid w:val="3176807D"/>
    <w:rsid w:val="3229312C"/>
    <w:rsid w:val="39A43F77"/>
    <w:rsid w:val="3DB89D66"/>
    <w:rsid w:val="3F4878A0"/>
    <w:rsid w:val="4608A91C"/>
    <w:rsid w:val="47469E50"/>
    <w:rsid w:val="4BB9A927"/>
    <w:rsid w:val="55570209"/>
    <w:rsid w:val="5BF69D82"/>
    <w:rsid w:val="620EA0F9"/>
    <w:rsid w:val="626D36CB"/>
    <w:rsid w:val="65CBB92F"/>
    <w:rsid w:val="6C00E6AA"/>
    <w:rsid w:val="6C747C6A"/>
    <w:rsid w:val="75B40F36"/>
    <w:rsid w:val="75B99217"/>
    <w:rsid w:val="7755E693"/>
    <w:rsid w:val="79E3501B"/>
    <w:rsid w:val="7D05DF6F"/>
    <w:rsid w:val="7E5E4D53"/>
    <w:rsid w:val="7EE0D898"/>
    <w:rsid w:val="7FBAEE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0DCF"/>
  <w15:docId w15:val="{0432260F-B749-4A63-90FF-07559FF8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ormalWeb">
    <w:name w:val="Normal (Web)"/>
    <w:basedOn w:val="Normal"/>
    <w:uiPriority w:val="99"/>
    <w:unhideWhenUsed/>
    <w:rsid w:val="001871F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871F9"/>
    <w:rPr>
      <w:i/>
      <w:iCs/>
    </w:rPr>
  </w:style>
  <w:style w:type="character" w:styleId="Strong">
    <w:name w:val="Strong"/>
    <w:basedOn w:val="DefaultParagraphFont"/>
    <w:uiPriority w:val="22"/>
    <w:qFormat/>
    <w:rsid w:val="001871F9"/>
    <w:rPr>
      <w:b/>
      <w:bCs/>
    </w:rPr>
  </w:style>
  <w:style w:type="table" w:styleId="TableGrid">
    <w:name w:val="Table Grid"/>
    <w:basedOn w:val="TableNormal"/>
    <w:rsid w:val="001871F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rPr>
      <w:sz w:val="16"/>
      <w:szCs w:val="16"/>
    </w:rPr>
  </w:style>
  <w:style w:type="paragraph" w:styleId="ListParagraph">
    <w:name w:val="List Paragraph"/>
    <w:basedOn w:val="Normal"/>
    <w:uiPriority w:val="34"/>
    <w:qFormat/>
    <w:rsid w:val="11E52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909949">
      <w:bodyDiv w:val="1"/>
      <w:marLeft w:val="0"/>
      <w:marRight w:val="0"/>
      <w:marTop w:val="0"/>
      <w:marBottom w:val="0"/>
      <w:divBdr>
        <w:top w:val="none" w:sz="0" w:space="0" w:color="auto"/>
        <w:left w:val="none" w:sz="0" w:space="0" w:color="auto"/>
        <w:bottom w:val="none" w:sz="0" w:space="0" w:color="auto"/>
        <w:right w:val="none" w:sz="0" w:space="0" w:color="auto"/>
      </w:divBdr>
      <w:divsChild>
        <w:div w:id="149256172">
          <w:marLeft w:val="0"/>
          <w:marRight w:val="0"/>
          <w:marTop w:val="0"/>
          <w:marBottom w:val="0"/>
          <w:divBdr>
            <w:top w:val="none" w:sz="0" w:space="0" w:color="auto"/>
            <w:left w:val="none" w:sz="0" w:space="0" w:color="auto"/>
            <w:bottom w:val="none" w:sz="0" w:space="0" w:color="auto"/>
            <w:right w:val="none" w:sz="0" w:space="0" w:color="auto"/>
          </w:divBdr>
        </w:div>
        <w:div w:id="238370435">
          <w:marLeft w:val="0"/>
          <w:marRight w:val="0"/>
          <w:marTop w:val="0"/>
          <w:marBottom w:val="0"/>
          <w:divBdr>
            <w:top w:val="none" w:sz="0" w:space="0" w:color="auto"/>
            <w:left w:val="none" w:sz="0" w:space="0" w:color="auto"/>
            <w:bottom w:val="none" w:sz="0" w:space="0" w:color="auto"/>
            <w:right w:val="none" w:sz="0" w:space="0" w:color="auto"/>
          </w:divBdr>
        </w:div>
        <w:div w:id="374355327">
          <w:marLeft w:val="0"/>
          <w:marRight w:val="0"/>
          <w:marTop w:val="0"/>
          <w:marBottom w:val="0"/>
          <w:divBdr>
            <w:top w:val="none" w:sz="0" w:space="0" w:color="auto"/>
            <w:left w:val="none" w:sz="0" w:space="0" w:color="auto"/>
            <w:bottom w:val="none" w:sz="0" w:space="0" w:color="auto"/>
            <w:right w:val="none" w:sz="0" w:space="0" w:color="auto"/>
          </w:divBdr>
        </w:div>
        <w:div w:id="1362514554">
          <w:marLeft w:val="0"/>
          <w:marRight w:val="0"/>
          <w:marTop w:val="0"/>
          <w:marBottom w:val="0"/>
          <w:divBdr>
            <w:top w:val="none" w:sz="0" w:space="0" w:color="auto"/>
            <w:left w:val="none" w:sz="0" w:space="0" w:color="auto"/>
            <w:bottom w:val="none" w:sz="0" w:space="0" w:color="auto"/>
            <w:right w:val="none" w:sz="0" w:space="0" w:color="auto"/>
          </w:divBdr>
        </w:div>
        <w:div w:id="1652251171">
          <w:marLeft w:val="0"/>
          <w:marRight w:val="0"/>
          <w:marTop w:val="0"/>
          <w:marBottom w:val="0"/>
          <w:divBdr>
            <w:top w:val="none" w:sz="0" w:space="0" w:color="auto"/>
            <w:left w:val="none" w:sz="0" w:space="0" w:color="auto"/>
            <w:bottom w:val="none" w:sz="0" w:space="0" w:color="auto"/>
            <w:right w:val="none" w:sz="0" w:space="0" w:color="auto"/>
          </w:divBdr>
        </w:div>
        <w:div w:id="1763840072">
          <w:marLeft w:val="0"/>
          <w:marRight w:val="0"/>
          <w:marTop w:val="0"/>
          <w:marBottom w:val="0"/>
          <w:divBdr>
            <w:top w:val="none" w:sz="0" w:space="0" w:color="auto"/>
            <w:left w:val="none" w:sz="0" w:space="0" w:color="auto"/>
            <w:bottom w:val="none" w:sz="0" w:space="0" w:color="auto"/>
            <w:right w:val="none" w:sz="0" w:space="0" w:color="auto"/>
          </w:divBdr>
        </w:div>
      </w:divsChild>
    </w:div>
    <w:div w:id="15232751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02/trtr.23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1461</Words>
  <Characters>8334</Characters>
  <Application>Microsoft Office Word</Application>
  <DocSecurity>0</DocSecurity>
  <Lines>69</Lines>
  <Paragraphs>19</Paragraphs>
  <ScaleCrop>false</ScaleCrop>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Pixley</dc:creator>
  <cp:keywords/>
  <cp:lastModifiedBy>Susan B Neuman</cp:lastModifiedBy>
  <cp:revision>2</cp:revision>
  <dcterms:created xsi:type="dcterms:W3CDTF">2025-09-04T15:42:00Z</dcterms:created>
  <dcterms:modified xsi:type="dcterms:W3CDTF">2025-09-04T15:42:00Z</dcterms:modified>
</cp:coreProperties>
</file>